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7"/>
        <w:ind w:firstLine="0"/>
        <w:rPr>
          <w:rFonts w:hint="eastAsia" w:ascii="仿宋" w:hAnsi="仿宋" w:eastAsia="仿宋" w:cs="仿宋"/>
          <w:b/>
          <w:bCs/>
          <w:color w:val="auto"/>
          <w:sz w:val="84"/>
          <w:highlight w:val="none"/>
        </w:rPr>
      </w:pPr>
      <w:r>
        <w:rPr>
          <w:rFonts w:hint="eastAsia" w:ascii="仿宋" w:hAnsi="仿宋" w:eastAsia="仿宋" w:cs="仿宋"/>
          <w:b/>
          <w:bCs/>
          <w:color w:val="auto"/>
          <w:sz w:val="84"/>
          <w:highlight w:val="none"/>
        </w:rPr>
      </w:r>
      <w:r/>
    </w:p>
    <w:p>
      <w:pPr>
        <w:pStyle w:val="997"/>
        <w:ind w:firstLine="0"/>
        <w:jc w:val="center"/>
        <w:rPr>
          <w:rFonts w:hint="eastAsia" w:ascii="仿宋" w:hAnsi="仿宋" w:eastAsia="仿宋" w:cs="仿宋"/>
          <w:b/>
          <w:bCs/>
          <w:color w:val="auto"/>
          <w:sz w:val="84"/>
          <w:highlight w:val="none"/>
        </w:rPr>
      </w:pPr>
      <w:r>
        <w:rPr>
          <w:rFonts w:hint="eastAsia" w:ascii="仿宋" w:hAnsi="仿宋" w:eastAsia="仿宋" w:cs="仿宋"/>
          <w:b/>
          <w:bCs/>
          <w:color w:val="auto"/>
          <w:sz w:val="84"/>
          <w:highlight w:val="none"/>
        </w:rPr>
        <w:t xml:space="preserve">招　标　文　件</w:t>
      </w:r>
      <w:r/>
    </w:p>
    <w:p>
      <w:pPr>
        <w:pStyle w:val="997"/>
        <w:ind w:firstLine="0"/>
        <w:jc w:val="center"/>
        <w:rPr>
          <w:rFonts w:hint="eastAsia" w:ascii="仿宋" w:hAnsi="仿宋" w:eastAsia="仿宋" w:cs="仿宋"/>
          <w:b/>
          <w:bCs/>
          <w:color w:val="auto"/>
          <w:sz w:val="84"/>
          <w:highlight w:val="none"/>
        </w:rPr>
      </w:pPr>
      <w:r>
        <w:rPr>
          <w:rFonts w:hint="eastAsia" w:ascii="仿宋" w:hAnsi="仿宋" w:eastAsia="仿宋" w:cs="仿宋"/>
          <w:b/>
          <w:bCs/>
          <w:color w:val="auto"/>
          <w:sz w:val="84"/>
          <w:highlight w:val="none"/>
        </w:rPr>
      </w:r>
      <w:r/>
    </w:p>
    <w:p>
      <w:pPr>
        <w:pStyle w:val="997"/>
        <w:ind w:firstLine="0"/>
        <w:jc w:val="center"/>
        <w:keepLines w:val="0"/>
        <w:keepNext w:val="0"/>
        <w:pageBreakBefore w:val="0"/>
        <w:spacing w:before="0" w:after="0" w:line="480" w:lineRule="auto"/>
        <w:widowControl w:val="off"/>
        <w:rPr>
          <w:rFonts w:hint="eastAsia" w:ascii="仿宋" w:hAnsi="仿宋" w:eastAsia="仿宋" w:cs="仿宋"/>
          <w:b/>
          <w:color w:val="auto"/>
          <w:sz w:val="30"/>
          <w:szCs w:val="30"/>
          <w:highlight w:val="none"/>
          <w:lang w:eastAsia="zh-CN"/>
        </w:rPr>
      </w:pPr>
      <w:r>
        <w:rPr>
          <w:rFonts w:hint="eastAsia" w:ascii="仿宋" w:hAnsi="仿宋" w:eastAsia="仿宋" w:cs="仿宋"/>
          <w:b/>
          <w:bCs/>
          <w:color w:val="auto"/>
          <w:sz w:val="32"/>
          <w:highlight w:val="none"/>
        </w:rPr>
        <w:t xml:space="preserve">项目名称：</w:t>
      </w:r>
      <w:r>
        <w:rPr>
          <w:rFonts w:hint="eastAsia" w:ascii="仿宋" w:hAnsi="仿宋" w:eastAsia="仿宋" w:cs="仿宋"/>
          <w:b/>
          <w:color w:val="auto"/>
          <w:sz w:val="30"/>
          <w:szCs w:val="30"/>
          <w:highlight w:val="none"/>
          <w:lang w:eastAsia="zh-CN"/>
        </w:rPr>
        <w:t xml:space="preserve">宿迁市长期护理保险委托商保公司经办项目</w:t>
      </w:r>
      <w:r/>
    </w:p>
    <w:p>
      <w:pPr>
        <w:pStyle w:val="997"/>
        <w:ind w:firstLine="0"/>
        <w:jc w:val="center"/>
        <w:keepLines w:val="0"/>
        <w:keepNext w:val="0"/>
        <w:pageBreakBefore w:val="0"/>
        <w:spacing w:before="0" w:after="0" w:line="480" w:lineRule="auto"/>
        <w:widowControl w:val="off"/>
        <w:rPr>
          <w:rFonts w:hint="eastAsia" w:ascii="仿宋" w:hAnsi="仿宋" w:eastAsia="仿宋" w:cs="仿宋"/>
          <w:b/>
          <w:bCs/>
          <w:color w:val="auto"/>
          <w:sz w:val="32"/>
          <w:highlight w:val="none"/>
          <w:lang w:eastAsia="zh-CN"/>
        </w:rPr>
      </w:pPr>
      <w:r>
        <w:rPr>
          <w:rFonts w:hint="eastAsia" w:ascii="仿宋" w:hAnsi="仿宋" w:eastAsia="仿宋" w:cs="仿宋"/>
          <w:b/>
          <w:bCs/>
          <w:color w:val="auto"/>
          <w:sz w:val="32"/>
          <w:highlight w:val="none"/>
        </w:rPr>
        <w:t xml:space="preserve">项目编号：</w:t>
      </w:r>
      <w:r>
        <w:rPr>
          <w:rFonts w:hint="eastAsia" w:ascii="仿宋" w:hAnsi="仿宋" w:eastAsia="仿宋" w:cs="仿宋"/>
          <w:b/>
          <w:bCs/>
          <w:color w:val="auto"/>
          <w:sz w:val="32"/>
          <w:highlight w:val="none"/>
          <w:lang w:eastAsia="zh-CN"/>
        </w:rPr>
        <w:t xml:space="preserve">JSZC-321300-SQHS-G2025-0045</w:t>
      </w:r>
      <w:r/>
    </w:p>
    <w:p>
      <w:pPr>
        <w:pStyle w:val="997"/>
        <w:ind w:firstLine="0"/>
        <w:jc w:val="center"/>
        <w:keepLines w:val="0"/>
        <w:keepNext w:val="0"/>
        <w:pageBreakBefore w:val="0"/>
        <w:spacing w:before="0" w:after="0" w:line="480" w:lineRule="auto"/>
        <w:widowControl w:val="off"/>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（服务类项目，</w:t>
      </w:r>
      <w:r>
        <w:rPr>
          <w:rFonts w:hint="eastAsia" w:ascii="仿宋" w:hAnsi="仿宋" w:eastAsia="仿宋" w:cs="仿宋"/>
          <w:b/>
          <w:bCs/>
          <w:color w:val="auto"/>
          <w:sz w:val="32"/>
          <w:highlight w:val="none"/>
          <w:u w:val="single"/>
        </w:rPr>
        <w:t xml:space="preserve"> 不 </w:t>
      </w:r>
      <w:r>
        <w:rPr>
          <w:rFonts w:hint="eastAsia" w:ascii="仿宋" w:hAnsi="仿宋" w:eastAsia="仿宋" w:cs="仿宋"/>
          <w:b/>
          <w:bCs/>
          <w:color w:val="auto"/>
          <w:sz w:val="32"/>
          <w:highlight w:val="none"/>
        </w:rPr>
        <w:t xml:space="preserve">专门面向中小企业）</w:t>
      </w:r>
      <w:r/>
    </w:p>
    <w:p>
      <w:pPr>
        <w:pStyle w:val="997"/>
        <w:ind w:firstLine="0"/>
        <w:jc w:val="center"/>
        <w:spacing w:before="0" w:after="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7"/>
        <w:ind w:firstLine="0"/>
        <w:spacing w:before="0" w:after="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7"/>
        <w:ind w:firstLine="0"/>
        <w:spacing w:before="0" w:after="0"/>
        <w:rPr>
          <w:rFonts w:hint="eastAsia" w:ascii="仿宋" w:hAnsi="仿宋" w:eastAsia="仿宋" w:cs="仿宋"/>
          <w:color w:val="auto"/>
          <w:highlight w:val="none"/>
        </w:rPr>
      </w:pPr>
      <w:r/>
      <w:bookmarkStart w:id="218" w:name="_GoBack"/>
      <w:r/>
      <w:bookmarkEnd w:id="218"/>
      <w:r/>
      <w:r/>
    </w:p>
    <w:p>
      <w:pPr>
        <w:pStyle w:val="997"/>
        <w:ind w:firstLine="0"/>
        <w:spacing w:before="0" w:after="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7"/>
        <w:ind w:firstLine="0"/>
        <w:spacing w:before="0" w:after="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7"/>
        <w:ind w:firstLine="0"/>
        <w:spacing w:before="0" w:after="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7"/>
        <w:ind w:firstLine="964"/>
        <w:jc w:val="both"/>
        <w:keepLines w:val="0"/>
        <w:keepNext w:val="0"/>
        <w:pageBreakBefore w:val="0"/>
        <w:spacing w:line="480" w:lineRule="auto"/>
        <w:widowControl w:val="off"/>
        <w:rPr>
          <w:rFonts w:hint="eastAsia" w:ascii="仿宋" w:hAnsi="仿宋" w:eastAsia="仿宋" w:cs="仿宋"/>
          <w:b/>
          <w:bCs/>
          <w:color w:val="auto"/>
          <w:sz w:val="32"/>
          <w:highlight w:val="none"/>
          <w:u w:val="single"/>
        </w:rPr>
      </w:pPr>
      <w:r>
        <w:rPr>
          <w:rFonts w:hint="eastAsia" w:ascii="仿宋" w:hAnsi="仿宋" w:eastAsia="仿宋" w:cs="仿宋"/>
          <w:b/>
          <w:bCs/>
          <w:color w:val="auto"/>
          <w:sz w:val="32"/>
          <w:highlight w:val="none"/>
        </w:rPr>
        <w:t xml:space="preserve">采购人：</w:t>
      </w:r>
      <w:r>
        <w:rPr>
          <w:rFonts w:hint="eastAsia" w:ascii="仿宋" w:hAnsi="仿宋" w:eastAsia="仿宋" w:cs="仿宋"/>
          <w:b/>
          <w:bCs/>
          <w:color w:val="auto"/>
          <w:sz w:val="32"/>
          <w:highlight w:val="none"/>
          <w:u w:val="single"/>
        </w:rPr>
        <w:t xml:space="preserve">       </w:t>
      </w:r>
      <w:r>
        <w:rPr>
          <w:rFonts w:hint="eastAsia" w:ascii="仿宋" w:hAnsi="仿宋" w:eastAsia="仿宋" w:cs="仿宋"/>
          <w:b/>
          <w:bCs/>
          <w:color w:val="auto"/>
          <w:sz w:val="32"/>
          <w:highlight w:val="none"/>
          <w:u w:val="single"/>
          <w:lang w:eastAsia="zh-CN"/>
        </w:rPr>
        <w:t xml:space="preserve">宿迁市医疗保障局</w:t>
      </w:r>
      <w:r>
        <w:rPr>
          <w:rFonts w:hint="eastAsia" w:ascii="仿宋" w:hAnsi="仿宋" w:eastAsia="仿宋" w:cs="仿宋"/>
          <w:b/>
          <w:bCs/>
          <w:color w:val="auto"/>
          <w:sz w:val="32"/>
          <w:highlight w:val="none"/>
          <w:u w:val="single"/>
        </w:rPr>
        <w:t xml:space="preserve">         </w:t>
      </w:r>
      <w:r/>
    </w:p>
    <w:p>
      <w:pPr>
        <w:pStyle w:val="997"/>
        <w:ind w:firstLine="964"/>
        <w:jc w:val="both"/>
        <w:keepLines w:val="0"/>
        <w:keepNext w:val="0"/>
        <w:pageBreakBefore w:val="0"/>
        <w:spacing w:line="480" w:lineRule="auto"/>
        <w:widowControl w:val="off"/>
        <w:rPr>
          <w:rFonts w:hint="eastAsia" w:ascii="仿宋" w:hAnsi="仿宋" w:eastAsia="仿宋" w:cs="仿宋"/>
          <w:b/>
          <w:bCs/>
          <w:color w:val="auto"/>
          <w:sz w:val="32"/>
          <w:highlight w:val="none"/>
          <w:u w:val="single"/>
        </w:rPr>
      </w:pPr>
      <w:r>
        <w:rPr>
          <w:rFonts w:hint="eastAsia" w:ascii="仿宋" w:hAnsi="仿宋" w:eastAsia="仿宋" w:cs="仿宋"/>
          <w:b/>
          <w:bCs/>
          <w:color w:val="auto"/>
          <w:sz w:val="32"/>
          <w:highlight w:val="none"/>
        </w:rPr>
        <w:t xml:space="preserve">采购代理机构：</w:t>
      </w:r>
      <w:r>
        <w:rPr>
          <w:rFonts w:hint="eastAsia" w:ascii="仿宋" w:hAnsi="仿宋" w:eastAsia="仿宋" w:cs="仿宋"/>
          <w:b/>
          <w:bCs/>
          <w:color w:val="auto"/>
          <w:sz w:val="32"/>
          <w:highlight w:val="none"/>
          <w:u w:val="single"/>
        </w:rPr>
        <w:t xml:space="preserve"> </w:t>
      </w:r>
      <w:r>
        <w:rPr>
          <w:rFonts w:hint="eastAsia" w:ascii="仿宋" w:hAnsi="仿宋" w:eastAsia="仿宋" w:cs="仿宋"/>
          <w:b/>
          <w:bCs/>
          <w:color w:val="auto"/>
          <w:sz w:val="32"/>
          <w:highlight w:val="none"/>
          <w:u w:val="single"/>
          <w:lang w:eastAsia="zh-CN"/>
        </w:rPr>
        <w:t xml:space="preserve">宿迁市宏晟项目管理有限公司</w:t>
      </w:r>
      <w:r>
        <w:rPr>
          <w:rFonts w:hint="eastAsia" w:ascii="仿宋" w:hAnsi="仿宋" w:eastAsia="仿宋" w:cs="仿宋"/>
          <w:b/>
          <w:bCs/>
          <w:color w:val="auto"/>
          <w:sz w:val="32"/>
          <w:highlight w:val="none"/>
          <w:u w:val="single"/>
        </w:rPr>
        <w:t xml:space="preserve"> </w:t>
      </w:r>
      <w:r/>
    </w:p>
    <w:p>
      <w:pPr>
        <w:pStyle w:val="997"/>
        <w:ind w:left="0" w:firstLine="0"/>
        <w:jc w:val="center"/>
        <w:keepLines w:val="0"/>
        <w:keepNext w:val="0"/>
        <w:pageBreakBefore w:val="0"/>
        <w:spacing w:line="480" w:lineRule="auto"/>
        <w:widowControl w:val="off"/>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202</w:t>
      </w:r>
      <w:r>
        <w:rPr>
          <w:rFonts w:hint="eastAsia" w:ascii="仿宋" w:hAnsi="仿宋" w:eastAsia="仿宋" w:cs="仿宋"/>
          <w:b/>
          <w:bCs/>
          <w:color w:val="auto"/>
          <w:sz w:val="32"/>
          <w:highlight w:val="none"/>
          <w:lang w:val="en-US" w:eastAsia="zh-CN"/>
        </w:rPr>
        <w:t xml:space="preserve">5</w:t>
      </w:r>
      <w:r>
        <w:rPr>
          <w:rFonts w:hint="eastAsia" w:ascii="仿宋" w:hAnsi="仿宋" w:eastAsia="仿宋" w:cs="仿宋"/>
          <w:b/>
          <w:bCs/>
          <w:color w:val="auto"/>
          <w:sz w:val="32"/>
          <w:highlight w:val="none"/>
        </w:rPr>
        <w:t xml:space="preserve">年</w:t>
      </w:r>
      <w:r>
        <w:rPr>
          <w:rFonts w:hint="eastAsia" w:ascii="仿宋" w:hAnsi="仿宋" w:eastAsia="仿宋" w:cs="仿宋"/>
          <w:b/>
          <w:bCs/>
          <w:color w:val="auto"/>
          <w:sz w:val="32"/>
          <w:highlight w:val="none"/>
          <w:lang w:val="en-US" w:eastAsia="zh-CN"/>
        </w:rPr>
        <w:t xml:space="preserve">12</w:t>
      </w:r>
      <w:r>
        <w:rPr>
          <w:rFonts w:hint="eastAsia" w:ascii="仿宋" w:hAnsi="仿宋" w:eastAsia="仿宋" w:cs="仿宋"/>
          <w:b/>
          <w:bCs/>
          <w:color w:val="auto"/>
          <w:sz w:val="32"/>
          <w:highlight w:val="none"/>
        </w:rPr>
        <w:t xml:space="preserve">月</w:t>
      </w:r>
      <w:r>
        <w:rPr>
          <w:rFonts w:hint="eastAsia" w:ascii="仿宋" w:hAnsi="仿宋" w:eastAsia="仿宋" w:cs="仿宋"/>
          <w:b/>
          <w:bCs/>
          <w:color w:val="auto"/>
          <w:sz w:val="32"/>
          <w:highlight w:val="none"/>
          <w:lang w:val="en-US" w:eastAsia="zh-CN"/>
        </w:rPr>
        <w:t xml:space="preserve">08</w:t>
      </w:r>
      <w:r>
        <w:rPr>
          <w:rFonts w:hint="eastAsia" w:ascii="仿宋" w:hAnsi="仿宋" w:eastAsia="仿宋" w:cs="仿宋"/>
          <w:b/>
          <w:bCs/>
          <w:color w:val="auto"/>
          <w:sz w:val="32"/>
          <w:highlight w:val="none"/>
        </w:rPr>
        <w:t xml:space="preserve">日</w:t>
      </w:r>
      <w:r/>
    </w:p>
    <w:p>
      <w:pPr>
        <w:pStyle w:val="997"/>
        <w:ind w:firstLine="0"/>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                        </w:t>
      </w:r>
      <w:r/>
    </w:p>
    <w:p>
      <w:pPr>
        <w:ind w:left="0" w:right="0" w:firstLine="0"/>
        <w:jc w:val="center"/>
        <w:keepLines w:val="0"/>
        <w:keepNext w:val="0"/>
        <w:pageBreakBefore w:val="0"/>
        <w:spacing w:before="0" w:after="0" w:line="480" w:lineRule="auto"/>
        <w:widowControl w:val="off"/>
        <w:rPr>
          <w:rFonts w:hint="eastAsia" w:ascii="仿宋" w:hAnsi="仿宋" w:eastAsia="仿宋" w:cs="仿宋"/>
          <w:color w:val="auto"/>
          <w:sz w:val="36"/>
          <w:szCs w:val="36"/>
          <w:highlight w:val="none"/>
        </w:rPr>
      </w:pPr>
      <w:r/>
      <w:bookmarkStart w:id="0" w:name="_Toc120614210"/>
      <w:r/>
      <w:bookmarkStart w:id="1" w:name="_Toc479757206"/>
      <w:r/>
      <w:bookmarkStart w:id="2" w:name="_Toc523127445"/>
      <w:r/>
      <w:bookmarkStart w:id="3" w:name="_Toc20823272"/>
      <w:r/>
      <w:bookmarkStart w:id="4" w:name="_Toc16938516"/>
      <w:r/>
      <w:bookmarkStart w:id="5" w:name="_Toc513029200"/>
      <w:r>
        <w:rPr>
          <w:rFonts w:hint="eastAsia" w:ascii="仿宋" w:hAnsi="仿宋" w:eastAsia="仿宋" w:cs="仿宋"/>
          <w:b/>
          <w:bCs/>
          <w:color w:val="auto"/>
          <w:sz w:val="52"/>
          <w:szCs w:val="52"/>
          <w:highlight w:val="none"/>
        </w:rPr>
        <w:t xml:space="preserve">目录</w:t>
      </w:r>
      <w:r/>
    </w:p>
    <w:p>
      <w:pPr>
        <w:jc w:val="left"/>
        <w:keepLines w:val="0"/>
        <w:keepNext w:val="0"/>
        <w:pageBreakBefore w:val="0"/>
        <w:spacing w:before="120" w:after="120" w:line="480" w:lineRule="auto"/>
        <w:widowControl w:val="off"/>
        <w:tabs>
          <w:tab w:val="right" w:pos="8953" w:leader="dot"/>
        </w:tabs>
        <w:rPr>
          <w:rFonts w:hint="eastAsia" w:ascii="仿宋" w:hAnsi="仿宋" w:eastAsia="仿宋" w:cs="仿宋"/>
          <w:caps/>
          <w:color w:val="auto"/>
          <w:sz w:val="36"/>
          <w:szCs w:val="36"/>
          <w:highlight w:val="none"/>
          <w:lang w:val="en-US" w:eastAsia="zh-CN" w:bidi="ar-SA"/>
        </w:rPr>
      </w:pPr>
      <w:r>
        <w:rPr>
          <w:rFonts w:hint="eastAsia" w:ascii="仿宋" w:hAnsi="仿宋" w:eastAsia="仿宋" w:cs="仿宋"/>
          <w:b/>
          <w:bCs/>
          <w:caps/>
          <w:color w:val="auto"/>
          <w:sz w:val="36"/>
          <w:szCs w:val="36"/>
          <w:highlight w:val="none"/>
          <w:lang w:val="en-US" w:eastAsia="zh-CN" w:bidi="ar-SA"/>
        </w:rPr>
        <w:fldChar w:fldCharType="begin"/>
      </w:r>
      <w:r>
        <w:rPr>
          <w:rFonts w:hint="eastAsia" w:ascii="仿宋" w:hAnsi="仿宋" w:eastAsia="仿宋" w:cs="仿宋"/>
          <w:b/>
          <w:bCs/>
          <w:caps/>
          <w:color w:val="auto"/>
          <w:sz w:val="36"/>
          <w:szCs w:val="36"/>
          <w:highlight w:val="none"/>
          <w:lang w:val="en-US" w:eastAsia="zh-CN" w:bidi="ar-SA"/>
        </w:rPr>
        <w:instrText xml:space="preserve">TOC \o "1-1" \h \u </w:instrText>
      </w:r>
      <w:r>
        <w:rPr>
          <w:rFonts w:hint="eastAsia" w:ascii="仿宋" w:hAnsi="仿宋" w:eastAsia="仿宋" w:cs="仿宋"/>
          <w:b/>
          <w:bCs/>
          <w:caps/>
          <w:color w:val="auto"/>
          <w:sz w:val="36"/>
          <w:szCs w:val="36"/>
          <w:highlight w:val="none"/>
          <w:lang w:val="en-US" w:eastAsia="zh-CN" w:bidi="ar-SA"/>
        </w:rPr>
        <w:fldChar w:fldCharType="separate"/>
      </w:r>
      <w:r>
        <w:rPr>
          <w:rFonts w:hint="eastAsia" w:ascii="仿宋" w:hAnsi="仿宋" w:eastAsia="仿宋" w:cs="仿宋"/>
          <w:bCs/>
          <w:caps/>
          <w:color w:val="auto"/>
          <w:sz w:val="36"/>
          <w:szCs w:val="36"/>
          <w:highlight w:val="none"/>
          <w:lang w:val="en-US" w:eastAsia="zh-CN" w:bidi="ar-SA"/>
        </w:rPr>
        <w:fldChar w:fldCharType="begin"/>
      </w:r>
      <w:r>
        <w:rPr>
          <w:rFonts w:hint="eastAsia" w:ascii="仿宋" w:hAnsi="仿宋" w:eastAsia="仿宋" w:cs="仿宋"/>
          <w:bCs/>
          <w:caps/>
          <w:color w:val="auto"/>
          <w:sz w:val="36"/>
          <w:szCs w:val="36"/>
          <w:highlight w:val="none"/>
          <w:lang w:val="en-US" w:eastAsia="zh-CN" w:bidi="ar-SA"/>
        </w:rPr>
        <w:instrText xml:space="preserve"> HYPERLINK \l _Toc22897 </w:instrText>
      </w:r>
      <w:r>
        <w:rPr>
          <w:rFonts w:hint="eastAsia" w:ascii="仿宋" w:hAnsi="仿宋" w:eastAsia="仿宋" w:cs="仿宋"/>
          <w:bCs/>
          <w:caps/>
          <w:color w:val="auto"/>
          <w:sz w:val="36"/>
          <w:szCs w:val="36"/>
          <w:highlight w:val="none"/>
          <w:lang w:val="en-US" w:eastAsia="zh-CN" w:bidi="ar-SA"/>
        </w:rPr>
        <w:fldChar w:fldCharType="separate"/>
      </w:r>
      <w:r>
        <w:rPr>
          <w:rFonts w:hint="eastAsia" w:ascii="仿宋" w:hAnsi="仿宋" w:eastAsia="仿宋" w:cs="仿宋"/>
          <w:bCs/>
          <w:caps/>
          <w:color w:val="auto"/>
          <w:sz w:val="36"/>
          <w:szCs w:val="36"/>
          <w:highlight w:val="none"/>
          <w:lang w:val="en-US" w:eastAsia="zh-CN" w:bidi="ar-SA"/>
        </w:rPr>
        <w:t xml:space="preserve">第一章   投标邀请</w:t>
      </w:r>
      <w:r>
        <w:rPr>
          <w:rFonts w:hint="eastAsia" w:ascii="仿宋" w:hAnsi="仿宋" w:eastAsia="仿宋" w:cs="仿宋"/>
          <w:caps/>
          <w:color w:val="auto"/>
          <w:sz w:val="36"/>
          <w:szCs w:val="36"/>
          <w:highlight w:val="none"/>
          <w:lang w:val="en-US" w:eastAsia="zh-CN" w:bidi="ar-SA"/>
        </w:rPr>
        <w:tab/>
      </w:r>
      <w:r>
        <w:rPr>
          <w:rFonts w:hint="eastAsia" w:ascii="仿宋" w:hAnsi="仿宋" w:eastAsia="仿宋" w:cs="仿宋"/>
          <w:caps/>
          <w:color w:val="auto"/>
          <w:sz w:val="36"/>
          <w:szCs w:val="36"/>
          <w:highlight w:val="none"/>
          <w:lang w:val="en-US" w:eastAsia="zh-CN" w:bidi="ar-SA"/>
        </w:rPr>
        <w:t xml:space="preserve">1</w:t>
      </w:r>
      <w:r>
        <w:rPr>
          <w:rFonts w:hint="eastAsia" w:ascii="仿宋" w:hAnsi="仿宋" w:eastAsia="仿宋" w:cs="仿宋"/>
          <w:bCs/>
          <w:caps/>
          <w:color w:val="auto"/>
          <w:sz w:val="36"/>
          <w:szCs w:val="36"/>
          <w:highlight w:val="none"/>
          <w:lang w:val="en-US" w:eastAsia="zh-CN" w:bidi="ar-SA"/>
        </w:rPr>
        <w:fldChar w:fldCharType="end"/>
      </w:r>
      <w:r/>
    </w:p>
    <w:p>
      <w:pPr>
        <w:jc w:val="left"/>
        <w:keepLines w:val="0"/>
        <w:keepNext w:val="0"/>
        <w:pageBreakBefore w:val="0"/>
        <w:spacing w:before="120" w:after="120" w:line="480" w:lineRule="auto"/>
        <w:widowControl w:val="off"/>
        <w:tabs>
          <w:tab w:val="right" w:pos="8953" w:leader="dot"/>
        </w:tabs>
        <w:rPr>
          <w:rFonts w:hint="eastAsia" w:ascii="仿宋" w:hAnsi="仿宋" w:eastAsia="仿宋" w:cs="仿宋"/>
          <w:caps/>
          <w:color w:val="auto"/>
          <w:sz w:val="36"/>
          <w:szCs w:val="36"/>
          <w:highlight w:val="none"/>
          <w:lang w:val="en-US" w:eastAsia="zh-CN" w:bidi="ar-SA"/>
        </w:rPr>
      </w:pPr>
      <w:r>
        <w:rPr>
          <w:rFonts w:hint="eastAsia" w:ascii="仿宋" w:hAnsi="仿宋" w:eastAsia="仿宋" w:cs="仿宋"/>
          <w:bCs/>
          <w:caps/>
          <w:color w:val="auto"/>
          <w:sz w:val="36"/>
          <w:szCs w:val="36"/>
          <w:highlight w:val="none"/>
          <w:lang w:val="en-US" w:eastAsia="zh-CN" w:bidi="ar-SA"/>
        </w:rPr>
        <w:fldChar w:fldCharType="begin"/>
      </w:r>
      <w:r>
        <w:rPr>
          <w:rFonts w:hint="eastAsia" w:ascii="仿宋" w:hAnsi="仿宋" w:eastAsia="仿宋" w:cs="仿宋"/>
          <w:bCs/>
          <w:caps/>
          <w:color w:val="auto"/>
          <w:sz w:val="36"/>
          <w:szCs w:val="36"/>
          <w:highlight w:val="none"/>
          <w:lang w:val="en-US" w:eastAsia="zh-CN" w:bidi="ar-SA"/>
        </w:rPr>
        <w:instrText xml:space="preserve"> HYPERLINK \l _Toc14806 </w:instrText>
      </w:r>
      <w:r>
        <w:rPr>
          <w:rFonts w:hint="eastAsia" w:ascii="仿宋" w:hAnsi="仿宋" w:eastAsia="仿宋" w:cs="仿宋"/>
          <w:bCs/>
          <w:caps/>
          <w:color w:val="auto"/>
          <w:sz w:val="36"/>
          <w:szCs w:val="36"/>
          <w:highlight w:val="none"/>
          <w:lang w:val="en-US" w:eastAsia="zh-CN" w:bidi="ar-SA"/>
        </w:rPr>
        <w:fldChar w:fldCharType="separate"/>
      </w:r>
      <w:r>
        <w:rPr>
          <w:rFonts w:hint="eastAsia" w:ascii="仿宋" w:hAnsi="仿宋" w:eastAsia="仿宋" w:cs="仿宋"/>
          <w:caps/>
          <w:color w:val="auto"/>
          <w:sz w:val="36"/>
          <w:szCs w:val="36"/>
          <w:highlight w:val="none"/>
          <w:lang w:val="en-US" w:eastAsia="zh-CN" w:bidi="ar-SA"/>
        </w:rPr>
        <w:t xml:space="preserve">第二章</w:t>
      </w:r>
      <w:r>
        <w:rPr>
          <w:rFonts w:hint="eastAsia" w:ascii="仿宋" w:hAnsi="仿宋" w:eastAsia="仿宋" w:cs="仿宋"/>
          <w:bCs/>
          <w:caps/>
          <w:color w:val="auto"/>
          <w:sz w:val="36"/>
          <w:szCs w:val="36"/>
          <w:highlight w:val="none"/>
          <w:lang w:val="en-US" w:eastAsia="zh-CN" w:bidi="ar-SA"/>
        </w:rPr>
        <w:t xml:space="preserve">   </w:t>
      </w:r>
      <w:r>
        <w:rPr>
          <w:rFonts w:hint="eastAsia" w:ascii="仿宋" w:hAnsi="仿宋" w:eastAsia="仿宋" w:cs="仿宋"/>
          <w:caps/>
          <w:color w:val="auto"/>
          <w:sz w:val="36"/>
          <w:szCs w:val="36"/>
          <w:highlight w:val="none"/>
          <w:lang w:val="en-US" w:eastAsia="zh-CN" w:bidi="ar-SA"/>
        </w:rPr>
        <w:t xml:space="preserve">投标人须知</w:t>
      </w:r>
      <w:r>
        <w:rPr>
          <w:rFonts w:hint="eastAsia" w:ascii="仿宋" w:hAnsi="仿宋" w:eastAsia="仿宋" w:cs="仿宋"/>
          <w:caps/>
          <w:color w:val="auto"/>
          <w:sz w:val="36"/>
          <w:szCs w:val="36"/>
          <w:highlight w:val="none"/>
          <w:lang w:val="en-US" w:eastAsia="zh-CN" w:bidi="ar-SA"/>
        </w:rPr>
        <w:tab/>
      </w:r>
      <w:r>
        <w:rPr>
          <w:rFonts w:hint="eastAsia" w:ascii="仿宋" w:hAnsi="仿宋" w:eastAsia="仿宋" w:cs="仿宋"/>
          <w:caps/>
          <w:color w:val="auto"/>
          <w:sz w:val="36"/>
          <w:szCs w:val="36"/>
          <w:highlight w:val="none"/>
          <w:lang w:val="en-US" w:eastAsia="zh-CN" w:bidi="ar-SA"/>
        </w:rPr>
        <w:t xml:space="preserve">6</w:t>
      </w:r>
      <w:r>
        <w:rPr>
          <w:rFonts w:hint="eastAsia" w:ascii="仿宋" w:hAnsi="仿宋" w:eastAsia="仿宋" w:cs="仿宋"/>
          <w:bCs/>
          <w:caps/>
          <w:color w:val="auto"/>
          <w:sz w:val="36"/>
          <w:szCs w:val="36"/>
          <w:highlight w:val="none"/>
          <w:lang w:val="en-US" w:eastAsia="zh-CN" w:bidi="ar-SA"/>
        </w:rPr>
        <w:fldChar w:fldCharType="end"/>
      </w:r>
      <w:r/>
    </w:p>
    <w:p>
      <w:pPr>
        <w:jc w:val="left"/>
        <w:keepLines w:val="0"/>
        <w:keepNext w:val="0"/>
        <w:pageBreakBefore w:val="0"/>
        <w:spacing w:before="120" w:after="120" w:line="480" w:lineRule="auto"/>
        <w:widowControl w:val="off"/>
        <w:tabs>
          <w:tab w:val="right" w:pos="8953" w:leader="dot"/>
        </w:tabs>
        <w:rPr>
          <w:rFonts w:hint="eastAsia" w:ascii="仿宋" w:hAnsi="仿宋" w:eastAsia="仿宋" w:cs="仿宋"/>
          <w:caps/>
          <w:color w:val="auto"/>
          <w:sz w:val="36"/>
          <w:szCs w:val="36"/>
          <w:highlight w:val="none"/>
          <w:lang w:val="en-US" w:eastAsia="zh-CN" w:bidi="ar-SA"/>
        </w:rPr>
      </w:pPr>
      <w:r>
        <w:rPr>
          <w:rFonts w:hint="eastAsia" w:ascii="仿宋" w:hAnsi="仿宋" w:eastAsia="仿宋" w:cs="仿宋"/>
          <w:bCs/>
          <w:caps/>
          <w:color w:val="auto"/>
          <w:sz w:val="36"/>
          <w:szCs w:val="36"/>
          <w:highlight w:val="none"/>
          <w:lang w:val="en-US" w:eastAsia="zh-CN" w:bidi="ar-SA"/>
        </w:rPr>
        <w:fldChar w:fldCharType="begin"/>
      </w:r>
      <w:r>
        <w:rPr>
          <w:rFonts w:hint="eastAsia" w:ascii="仿宋" w:hAnsi="仿宋" w:eastAsia="仿宋" w:cs="仿宋"/>
          <w:bCs/>
          <w:caps/>
          <w:color w:val="auto"/>
          <w:sz w:val="36"/>
          <w:szCs w:val="36"/>
          <w:highlight w:val="none"/>
          <w:lang w:val="en-US" w:eastAsia="zh-CN" w:bidi="ar-SA"/>
        </w:rPr>
        <w:instrText xml:space="preserve"> HYPERLINK \l _Toc10070 </w:instrText>
      </w:r>
      <w:r>
        <w:rPr>
          <w:rFonts w:hint="eastAsia" w:ascii="仿宋" w:hAnsi="仿宋" w:eastAsia="仿宋" w:cs="仿宋"/>
          <w:bCs/>
          <w:caps/>
          <w:color w:val="auto"/>
          <w:sz w:val="36"/>
          <w:szCs w:val="36"/>
          <w:highlight w:val="none"/>
          <w:lang w:val="en-US" w:eastAsia="zh-CN" w:bidi="ar-SA"/>
        </w:rPr>
        <w:fldChar w:fldCharType="separate"/>
      </w:r>
      <w:r>
        <w:rPr>
          <w:rFonts w:hint="eastAsia" w:ascii="仿宋" w:hAnsi="仿宋" w:eastAsia="仿宋" w:cs="仿宋"/>
          <w:bCs/>
          <w:caps/>
          <w:color w:val="auto"/>
          <w:sz w:val="36"/>
          <w:szCs w:val="36"/>
          <w:highlight w:val="none"/>
          <w:lang w:val="en-US" w:eastAsia="zh-CN" w:bidi="ar-SA"/>
        </w:rPr>
        <w:t xml:space="preserve">第三章   合同文本</w:t>
      </w:r>
      <w:r>
        <w:rPr>
          <w:rFonts w:hint="eastAsia" w:ascii="仿宋" w:hAnsi="仿宋" w:eastAsia="仿宋" w:cs="仿宋"/>
          <w:caps/>
          <w:color w:val="auto"/>
          <w:sz w:val="36"/>
          <w:szCs w:val="36"/>
          <w:highlight w:val="none"/>
          <w:lang w:val="en-US" w:eastAsia="zh-CN" w:bidi="ar-SA"/>
        </w:rPr>
        <w:tab/>
      </w:r>
      <w:r>
        <w:rPr>
          <w:rFonts w:hint="eastAsia" w:ascii="仿宋" w:hAnsi="仿宋" w:eastAsia="仿宋" w:cs="仿宋"/>
          <w:caps/>
          <w:color w:val="auto"/>
          <w:sz w:val="36"/>
          <w:szCs w:val="36"/>
          <w:highlight w:val="none"/>
          <w:lang w:val="en-US" w:eastAsia="zh-CN" w:bidi="ar-SA"/>
        </w:rPr>
        <w:fldChar w:fldCharType="begin"/>
      </w:r>
      <w:r>
        <w:rPr>
          <w:rFonts w:hint="eastAsia" w:ascii="仿宋" w:hAnsi="仿宋" w:eastAsia="仿宋" w:cs="仿宋"/>
          <w:caps/>
          <w:color w:val="auto"/>
          <w:sz w:val="36"/>
          <w:szCs w:val="36"/>
          <w:highlight w:val="none"/>
          <w:lang w:val="en-US" w:eastAsia="zh-CN" w:bidi="ar-SA"/>
        </w:rPr>
        <w:instrText xml:space="preserve"> PAGEREF _Toc10070 \h </w:instrText>
      </w:r>
      <w:r>
        <w:rPr>
          <w:rFonts w:hint="eastAsia" w:ascii="仿宋" w:hAnsi="仿宋" w:eastAsia="仿宋" w:cs="仿宋"/>
          <w:caps/>
          <w:color w:val="auto"/>
          <w:sz w:val="36"/>
          <w:szCs w:val="36"/>
          <w:highlight w:val="none"/>
          <w:lang w:val="en-US" w:eastAsia="zh-CN" w:bidi="ar-SA"/>
        </w:rPr>
        <w:fldChar w:fldCharType="separate"/>
      </w:r>
      <w:r>
        <w:rPr>
          <w:rFonts w:hint="eastAsia" w:ascii="仿宋" w:hAnsi="仿宋" w:eastAsia="仿宋" w:cs="仿宋"/>
          <w:caps/>
          <w:color w:val="auto"/>
          <w:sz w:val="36"/>
          <w:szCs w:val="36"/>
          <w:highlight w:val="none"/>
          <w:lang w:val="en-US" w:eastAsia="zh-CN" w:bidi="ar-SA"/>
        </w:rPr>
        <w:t xml:space="preserve">27</w:t>
      </w:r>
      <w:r>
        <w:rPr>
          <w:rFonts w:hint="eastAsia" w:ascii="仿宋" w:hAnsi="仿宋" w:eastAsia="仿宋" w:cs="仿宋"/>
          <w:caps/>
          <w:color w:val="auto"/>
          <w:sz w:val="36"/>
          <w:szCs w:val="36"/>
          <w:highlight w:val="none"/>
          <w:lang w:val="en-US" w:eastAsia="zh-CN" w:bidi="ar-SA"/>
        </w:rPr>
        <w:fldChar w:fldCharType="end"/>
      </w:r>
      <w:r>
        <w:rPr>
          <w:rFonts w:hint="eastAsia" w:ascii="仿宋" w:hAnsi="仿宋" w:eastAsia="仿宋" w:cs="仿宋"/>
          <w:bCs/>
          <w:caps/>
          <w:color w:val="auto"/>
          <w:sz w:val="36"/>
          <w:szCs w:val="36"/>
          <w:highlight w:val="none"/>
          <w:lang w:val="en-US" w:eastAsia="zh-CN" w:bidi="ar-SA"/>
        </w:rPr>
        <w:fldChar w:fldCharType="end"/>
      </w:r>
      <w:r/>
    </w:p>
    <w:p>
      <w:pPr>
        <w:jc w:val="left"/>
        <w:keepLines w:val="0"/>
        <w:keepNext w:val="0"/>
        <w:pageBreakBefore w:val="0"/>
        <w:spacing w:before="120" w:after="120" w:line="480" w:lineRule="auto"/>
        <w:widowControl w:val="off"/>
        <w:tabs>
          <w:tab w:val="right" w:pos="8953" w:leader="dot"/>
        </w:tabs>
        <w:rPr>
          <w:rFonts w:hint="eastAsia" w:ascii="仿宋" w:hAnsi="仿宋" w:eastAsia="仿宋" w:cs="仿宋"/>
          <w:caps/>
          <w:color w:val="auto"/>
          <w:sz w:val="36"/>
          <w:szCs w:val="36"/>
          <w:highlight w:val="none"/>
          <w:lang w:val="en-US" w:eastAsia="zh-CN" w:bidi="ar-SA"/>
        </w:rPr>
      </w:pPr>
      <w:r>
        <w:rPr>
          <w:rFonts w:hint="eastAsia" w:ascii="仿宋" w:hAnsi="仿宋" w:eastAsia="仿宋" w:cs="仿宋"/>
          <w:bCs/>
          <w:caps/>
          <w:color w:val="auto"/>
          <w:sz w:val="36"/>
          <w:szCs w:val="36"/>
          <w:highlight w:val="none"/>
          <w:lang w:val="en-US" w:eastAsia="zh-CN" w:bidi="ar-SA"/>
        </w:rPr>
        <w:fldChar w:fldCharType="begin"/>
      </w:r>
      <w:r>
        <w:rPr>
          <w:rFonts w:hint="eastAsia" w:ascii="仿宋" w:hAnsi="仿宋" w:eastAsia="仿宋" w:cs="仿宋"/>
          <w:bCs/>
          <w:caps/>
          <w:color w:val="auto"/>
          <w:sz w:val="36"/>
          <w:szCs w:val="36"/>
          <w:highlight w:val="none"/>
          <w:lang w:val="en-US" w:eastAsia="zh-CN" w:bidi="ar-SA"/>
        </w:rPr>
        <w:instrText xml:space="preserve"> HYPERLINK \l _Toc15293 </w:instrText>
      </w:r>
      <w:r>
        <w:rPr>
          <w:rFonts w:hint="eastAsia" w:ascii="仿宋" w:hAnsi="仿宋" w:eastAsia="仿宋" w:cs="仿宋"/>
          <w:bCs/>
          <w:caps/>
          <w:color w:val="auto"/>
          <w:sz w:val="36"/>
          <w:szCs w:val="36"/>
          <w:highlight w:val="none"/>
          <w:lang w:val="en-US" w:eastAsia="zh-CN" w:bidi="ar-SA"/>
        </w:rPr>
        <w:fldChar w:fldCharType="separate"/>
      </w:r>
      <w:r>
        <w:rPr>
          <w:rFonts w:hint="eastAsia" w:ascii="仿宋" w:hAnsi="仿宋" w:eastAsia="仿宋" w:cs="仿宋"/>
          <w:bCs/>
          <w:caps/>
          <w:color w:val="auto"/>
          <w:sz w:val="36"/>
          <w:szCs w:val="36"/>
          <w:highlight w:val="none"/>
          <w:lang w:val="en-US" w:eastAsia="zh-CN" w:bidi="ar-SA"/>
        </w:rPr>
        <w:t xml:space="preserve">第四章   采购需求</w:t>
      </w:r>
      <w:r>
        <w:rPr>
          <w:rFonts w:hint="eastAsia" w:ascii="仿宋" w:hAnsi="仿宋" w:eastAsia="仿宋" w:cs="仿宋"/>
          <w:caps/>
          <w:color w:val="auto"/>
          <w:sz w:val="36"/>
          <w:szCs w:val="36"/>
          <w:highlight w:val="none"/>
          <w:lang w:val="en-US" w:eastAsia="zh-CN" w:bidi="ar-SA"/>
        </w:rPr>
        <w:tab/>
      </w:r>
      <w:r>
        <w:rPr>
          <w:rFonts w:hint="eastAsia" w:ascii="仿宋" w:hAnsi="仿宋" w:eastAsia="仿宋" w:cs="仿宋"/>
          <w:caps/>
          <w:color w:val="auto"/>
          <w:sz w:val="36"/>
          <w:szCs w:val="36"/>
          <w:highlight w:val="none"/>
          <w:lang w:val="en-US" w:eastAsia="zh-CN" w:bidi="ar-SA"/>
        </w:rPr>
        <w:fldChar w:fldCharType="begin"/>
      </w:r>
      <w:r>
        <w:rPr>
          <w:rFonts w:hint="eastAsia" w:ascii="仿宋" w:hAnsi="仿宋" w:eastAsia="仿宋" w:cs="仿宋"/>
          <w:caps/>
          <w:color w:val="auto"/>
          <w:sz w:val="36"/>
          <w:szCs w:val="36"/>
          <w:highlight w:val="none"/>
          <w:lang w:val="en-US" w:eastAsia="zh-CN" w:bidi="ar-SA"/>
        </w:rPr>
        <w:instrText xml:space="preserve"> PAGEREF _Toc15293 \h </w:instrText>
      </w:r>
      <w:r>
        <w:rPr>
          <w:rFonts w:hint="eastAsia" w:ascii="仿宋" w:hAnsi="仿宋" w:eastAsia="仿宋" w:cs="仿宋"/>
          <w:caps/>
          <w:color w:val="auto"/>
          <w:sz w:val="36"/>
          <w:szCs w:val="36"/>
          <w:highlight w:val="none"/>
          <w:lang w:val="en-US" w:eastAsia="zh-CN" w:bidi="ar-SA"/>
        </w:rPr>
        <w:fldChar w:fldCharType="separate"/>
      </w:r>
      <w:r>
        <w:rPr>
          <w:rFonts w:hint="eastAsia" w:ascii="仿宋" w:hAnsi="仿宋" w:eastAsia="仿宋" w:cs="仿宋"/>
          <w:caps/>
          <w:color w:val="auto"/>
          <w:sz w:val="36"/>
          <w:szCs w:val="36"/>
          <w:highlight w:val="none"/>
          <w:lang w:val="en-US" w:eastAsia="zh-CN" w:bidi="ar-SA"/>
        </w:rPr>
        <w:t xml:space="preserve">44</w:t>
      </w:r>
      <w:r>
        <w:rPr>
          <w:rFonts w:hint="eastAsia" w:ascii="仿宋" w:hAnsi="仿宋" w:eastAsia="仿宋" w:cs="仿宋"/>
          <w:caps/>
          <w:color w:val="auto"/>
          <w:sz w:val="36"/>
          <w:szCs w:val="36"/>
          <w:highlight w:val="none"/>
          <w:lang w:val="en-US" w:eastAsia="zh-CN" w:bidi="ar-SA"/>
        </w:rPr>
        <w:fldChar w:fldCharType="end"/>
      </w:r>
      <w:r>
        <w:rPr>
          <w:rFonts w:hint="eastAsia" w:ascii="仿宋" w:hAnsi="仿宋" w:eastAsia="仿宋" w:cs="仿宋"/>
          <w:bCs/>
          <w:caps/>
          <w:color w:val="auto"/>
          <w:sz w:val="36"/>
          <w:szCs w:val="36"/>
          <w:highlight w:val="none"/>
          <w:lang w:val="en-US" w:eastAsia="zh-CN" w:bidi="ar-SA"/>
        </w:rPr>
        <w:fldChar w:fldCharType="end"/>
      </w:r>
      <w:r/>
    </w:p>
    <w:p>
      <w:pPr>
        <w:jc w:val="left"/>
        <w:keepLines w:val="0"/>
        <w:keepNext w:val="0"/>
        <w:pageBreakBefore w:val="0"/>
        <w:spacing w:before="120" w:after="120" w:line="480" w:lineRule="auto"/>
        <w:widowControl w:val="off"/>
        <w:tabs>
          <w:tab w:val="right" w:pos="8953" w:leader="dot"/>
        </w:tabs>
        <w:rPr>
          <w:rFonts w:hint="eastAsia" w:ascii="仿宋" w:hAnsi="仿宋" w:eastAsia="仿宋" w:cs="仿宋"/>
          <w:caps/>
          <w:color w:val="auto"/>
          <w:sz w:val="36"/>
          <w:szCs w:val="36"/>
          <w:highlight w:val="none"/>
          <w:lang w:val="en-US" w:eastAsia="zh-CN" w:bidi="ar-SA"/>
        </w:rPr>
      </w:pPr>
      <w:r>
        <w:rPr>
          <w:rFonts w:hint="eastAsia" w:ascii="仿宋" w:hAnsi="仿宋" w:eastAsia="仿宋" w:cs="仿宋"/>
          <w:bCs/>
          <w:caps/>
          <w:color w:val="auto"/>
          <w:sz w:val="36"/>
          <w:szCs w:val="36"/>
          <w:highlight w:val="none"/>
          <w:lang w:val="en-US" w:eastAsia="zh-CN" w:bidi="ar-SA"/>
        </w:rPr>
        <w:fldChar w:fldCharType="begin"/>
      </w:r>
      <w:r>
        <w:rPr>
          <w:rFonts w:hint="eastAsia" w:ascii="仿宋" w:hAnsi="仿宋" w:eastAsia="仿宋" w:cs="仿宋"/>
          <w:bCs/>
          <w:caps/>
          <w:color w:val="auto"/>
          <w:sz w:val="36"/>
          <w:szCs w:val="36"/>
          <w:highlight w:val="none"/>
          <w:lang w:val="en-US" w:eastAsia="zh-CN" w:bidi="ar-SA"/>
        </w:rPr>
        <w:instrText xml:space="preserve"> HYPERLINK \l _Toc3329 </w:instrText>
      </w:r>
      <w:r>
        <w:rPr>
          <w:rFonts w:hint="eastAsia" w:ascii="仿宋" w:hAnsi="仿宋" w:eastAsia="仿宋" w:cs="仿宋"/>
          <w:bCs/>
          <w:caps/>
          <w:color w:val="auto"/>
          <w:sz w:val="36"/>
          <w:szCs w:val="36"/>
          <w:highlight w:val="none"/>
          <w:lang w:val="en-US" w:eastAsia="zh-CN" w:bidi="ar-SA"/>
        </w:rPr>
        <w:fldChar w:fldCharType="separate"/>
      </w:r>
      <w:r>
        <w:rPr>
          <w:rFonts w:hint="eastAsia" w:ascii="仿宋" w:hAnsi="仿宋" w:eastAsia="仿宋" w:cs="仿宋"/>
          <w:bCs/>
          <w:caps/>
          <w:color w:val="auto"/>
          <w:sz w:val="36"/>
          <w:szCs w:val="36"/>
          <w:highlight w:val="none"/>
          <w:lang w:val="en-US" w:eastAsia="zh-CN" w:bidi="ar-SA"/>
        </w:rPr>
        <w:t xml:space="preserve">第五章   评标方法与评标标准</w:t>
      </w:r>
      <w:r>
        <w:rPr>
          <w:rFonts w:hint="eastAsia" w:ascii="仿宋" w:hAnsi="仿宋" w:eastAsia="仿宋" w:cs="仿宋"/>
          <w:caps/>
          <w:color w:val="auto"/>
          <w:sz w:val="36"/>
          <w:szCs w:val="36"/>
          <w:highlight w:val="none"/>
          <w:lang w:val="en-US" w:eastAsia="zh-CN" w:bidi="ar-SA"/>
        </w:rPr>
        <w:tab/>
      </w:r>
      <w:r>
        <w:rPr>
          <w:rFonts w:hint="eastAsia" w:ascii="仿宋" w:hAnsi="仿宋" w:eastAsia="仿宋" w:cs="仿宋"/>
          <w:caps/>
          <w:color w:val="auto"/>
          <w:sz w:val="36"/>
          <w:szCs w:val="36"/>
          <w:highlight w:val="none"/>
          <w:lang w:val="en-US" w:eastAsia="zh-CN" w:bidi="ar-SA"/>
        </w:rPr>
        <w:fldChar w:fldCharType="begin"/>
      </w:r>
      <w:r>
        <w:rPr>
          <w:rFonts w:hint="eastAsia" w:ascii="仿宋" w:hAnsi="仿宋" w:eastAsia="仿宋" w:cs="仿宋"/>
          <w:caps/>
          <w:color w:val="auto"/>
          <w:sz w:val="36"/>
          <w:szCs w:val="36"/>
          <w:highlight w:val="none"/>
          <w:lang w:val="en-US" w:eastAsia="zh-CN" w:bidi="ar-SA"/>
        </w:rPr>
        <w:instrText xml:space="preserve"> PAGEREF _Toc3329 \h </w:instrText>
      </w:r>
      <w:r>
        <w:rPr>
          <w:rFonts w:hint="eastAsia" w:ascii="仿宋" w:hAnsi="仿宋" w:eastAsia="仿宋" w:cs="仿宋"/>
          <w:caps/>
          <w:color w:val="auto"/>
          <w:sz w:val="36"/>
          <w:szCs w:val="36"/>
          <w:highlight w:val="none"/>
          <w:lang w:val="en-US" w:eastAsia="zh-CN" w:bidi="ar-SA"/>
        </w:rPr>
        <w:fldChar w:fldCharType="separate"/>
      </w:r>
      <w:r>
        <w:rPr>
          <w:rFonts w:hint="eastAsia" w:ascii="仿宋" w:hAnsi="仿宋" w:eastAsia="仿宋" w:cs="仿宋"/>
          <w:caps/>
          <w:color w:val="auto"/>
          <w:sz w:val="36"/>
          <w:szCs w:val="36"/>
          <w:highlight w:val="none"/>
          <w:lang w:val="en-US" w:eastAsia="zh-CN" w:bidi="ar-SA"/>
        </w:rPr>
        <w:t xml:space="preserve">60</w:t>
      </w:r>
      <w:r>
        <w:rPr>
          <w:rFonts w:hint="eastAsia" w:ascii="仿宋" w:hAnsi="仿宋" w:eastAsia="仿宋" w:cs="仿宋"/>
          <w:caps/>
          <w:color w:val="auto"/>
          <w:sz w:val="36"/>
          <w:szCs w:val="36"/>
          <w:highlight w:val="none"/>
          <w:lang w:val="en-US" w:eastAsia="zh-CN" w:bidi="ar-SA"/>
        </w:rPr>
        <w:fldChar w:fldCharType="end"/>
      </w:r>
      <w:r>
        <w:rPr>
          <w:rFonts w:hint="eastAsia" w:ascii="仿宋" w:hAnsi="仿宋" w:eastAsia="仿宋" w:cs="仿宋"/>
          <w:bCs/>
          <w:caps/>
          <w:color w:val="auto"/>
          <w:sz w:val="36"/>
          <w:szCs w:val="36"/>
          <w:highlight w:val="none"/>
          <w:lang w:val="en-US" w:eastAsia="zh-CN" w:bidi="ar-SA"/>
        </w:rPr>
        <w:fldChar w:fldCharType="end"/>
      </w:r>
      <w:r/>
    </w:p>
    <w:p>
      <w:pPr>
        <w:jc w:val="left"/>
        <w:keepLines w:val="0"/>
        <w:keepNext w:val="0"/>
        <w:pageBreakBefore w:val="0"/>
        <w:spacing w:before="120" w:after="120" w:line="480" w:lineRule="auto"/>
        <w:widowControl w:val="off"/>
        <w:tabs>
          <w:tab w:val="right" w:pos="8953" w:leader="dot"/>
        </w:tabs>
        <w:rPr>
          <w:rFonts w:hint="eastAsia" w:ascii="仿宋" w:hAnsi="仿宋" w:eastAsia="仿宋" w:cs="仿宋"/>
          <w:caps/>
          <w:color w:val="auto"/>
          <w:sz w:val="36"/>
          <w:szCs w:val="36"/>
          <w:highlight w:val="none"/>
          <w:lang w:val="en-US" w:eastAsia="zh-CN" w:bidi="ar-SA"/>
        </w:rPr>
      </w:pPr>
      <w:r>
        <w:rPr>
          <w:rFonts w:hint="eastAsia" w:ascii="仿宋" w:hAnsi="仿宋" w:eastAsia="仿宋" w:cs="仿宋"/>
          <w:bCs/>
          <w:caps/>
          <w:color w:val="auto"/>
          <w:sz w:val="36"/>
          <w:szCs w:val="36"/>
          <w:highlight w:val="none"/>
          <w:lang w:val="en-US" w:eastAsia="zh-CN" w:bidi="ar-SA"/>
        </w:rPr>
        <w:fldChar w:fldCharType="begin"/>
      </w:r>
      <w:r>
        <w:rPr>
          <w:rFonts w:hint="eastAsia" w:ascii="仿宋" w:hAnsi="仿宋" w:eastAsia="仿宋" w:cs="仿宋"/>
          <w:bCs/>
          <w:caps/>
          <w:color w:val="auto"/>
          <w:sz w:val="36"/>
          <w:szCs w:val="36"/>
          <w:highlight w:val="none"/>
          <w:lang w:val="en-US" w:eastAsia="zh-CN" w:bidi="ar-SA"/>
        </w:rPr>
        <w:instrText xml:space="preserve"> HYPERLINK \l _Toc15930 </w:instrText>
      </w:r>
      <w:r>
        <w:rPr>
          <w:rFonts w:hint="eastAsia" w:ascii="仿宋" w:hAnsi="仿宋" w:eastAsia="仿宋" w:cs="仿宋"/>
          <w:bCs/>
          <w:caps/>
          <w:color w:val="auto"/>
          <w:sz w:val="36"/>
          <w:szCs w:val="36"/>
          <w:highlight w:val="none"/>
          <w:lang w:val="en-US" w:eastAsia="zh-CN" w:bidi="ar-SA"/>
        </w:rPr>
        <w:fldChar w:fldCharType="separate"/>
      </w:r>
      <w:r>
        <w:rPr>
          <w:rFonts w:hint="eastAsia" w:ascii="仿宋" w:hAnsi="仿宋" w:eastAsia="仿宋" w:cs="仿宋"/>
          <w:bCs/>
          <w:caps/>
          <w:color w:val="auto"/>
          <w:sz w:val="36"/>
          <w:szCs w:val="36"/>
          <w:highlight w:val="none"/>
          <w:lang w:val="en-US" w:eastAsia="zh-CN" w:bidi="ar-SA"/>
        </w:rPr>
        <w:t xml:space="preserve">第六章   投标文件格式</w:t>
      </w:r>
      <w:r>
        <w:rPr>
          <w:rFonts w:hint="eastAsia" w:ascii="仿宋" w:hAnsi="仿宋" w:eastAsia="仿宋" w:cs="仿宋"/>
          <w:caps/>
          <w:color w:val="auto"/>
          <w:sz w:val="36"/>
          <w:szCs w:val="36"/>
          <w:highlight w:val="none"/>
          <w:lang w:val="en-US" w:eastAsia="zh-CN" w:bidi="ar-SA"/>
        </w:rPr>
        <w:tab/>
      </w:r>
      <w:r>
        <w:rPr>
          <w:rFonts w:hint="eastAsia" w:ascii="仿宋" w:hAnsi="仿宋" w:eastAsia="仿宋" w:cs="仿宋"/>
          <w:caps/>
          <w:color w:val="auto"/>
          <w:sz w:val="36"/>
          <w:szCs w:val="36"/>
          <w:highlight w:val="none"/>
          <w:lang w:val="en-US" w:eastAsia="zh-CN" w:bidi="ar-SA"/>
        </w:rPr>
        <w:fldChar w:fldCharType="begin"/>
      </w:r>
      <w:r>
        <w:rPr>
          <w:rFonts w:hint="eastAsia" w:ascii="仿宋" w:hAnsi="仿宋" w:eastAsia="仿宋" w:cs="仿宋"/>
          <w:caps/>
          <w:color w:val="auto"/>
          <w:sz w:val="36"/>
          <w:szCs w:val="36"/>
          <w:highlight w:val="none"/>
          <w:lang w:val="en-US" w:eastAsia="zh-CN" w:bidi="ar-SA"/>
        </w:rPr>
        <w:instrText xml:space="preserve"> PAGEREF _Toc15930 \h </w:instrText>
      </w:r>
      <w:r>
        <w:rPr>
          <w:rFonts w:hint="eastAsia" w:ascii="仿宋" w:hAnsi="仿宋" w:eastAsia="仿宋" w:cs="仿宋"/>
          <w:caps/>
          <w:color w:val="auto"/>
          <w:sz w:val="36"/>
          <w:szCs w:val="36"/>
          <w:highlight w:val="none"/>
          <w:lang w:val="en-US" w:eastAsia="zh-CN" w:bidi="ar-SA"/>
        </w:rPr>
        <w:fldChar w:fldCharType="separate"/>
      </w:r>
      <w:r>
        <w:rPr>
          <w:rFonts w:hint="eastAsia" w:ascii="仿宋" w:hAnsi="仿宋" w:eastAsia="仿宋" w:cs="仿宋"/>
          <w:caps/>
          <w:color w:val="auto"/>
          <w:sz w:val="36"/>
          <w:szCs w:val="36"/>
          <w:highlight w:val="none"/>
          <w:lang w:val="en-US" w:eastAsia="zh-CN" w:bidi="ar-SA"/>
        </w:rPr>
        <w:t xml:space="preserve">68</w:t>
      </w:r>
      <w:r>
        <w:rPr>
          <w:rFonts w:hint="eastAsia" w:ascii="仿宋" w:hAnsi="仿宋" w:eastAsia="仿宋" w:cs="仿宋"/>
          <w:caps/>
          <w:color w:val="auto"/>
          <w:sz w:val="36"/>
          <w:szCs w:val="36"/>
          <w:highlight w:val="none"/>
          <w:lang w:val="en-US" w:eastAsia="zh-CN" w:bidi="ar-SA"/>
        </w:rPr>
        <w:fldChar w:fldCharType="end"/>
      </w:r>
      <w:r>
        <w:rPr>
          <w:rFonts w:hint="eastAsia" w:ascii="仿宋" w:hAnsi="仿宋" w:eastAsia="仿宋" w:cs="仿宋"/>
          <w:bCs/>
          <w:caps/>
          <w:color w:val="auto"/>
          <w:sz w:val="36"/>
          <w:szCs w:val="36"/>
          <w:highlight w:val="none"/>
          <w:lang w:val="en-US" w:eastAsia="zh-CN" w:bidi="ar-SA"/>
        </w:rPr>
        <w:fldChar w:fldCharType="end"/>
      </w:r>
      <w:r/>
    </w:p>
    <w:p>
      <w:pPr>
        <w:ind w:firstLine="720"/>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bCs/>
          <w:color w:val="auto"/>
          <w:sz w:val="36"/>
          <w:szCs w:val="36"/>
          <w:highlight w:val="none"/>
        </w:rPr>
        <w:fldChar w:fldCharType="end"/>
      </w:r>
      <w:r/>
    </w:p>
    <w:p>
      <w:pPr>
        <w:numPr>
          <w:ilvl w:val="0"/>
          <w:numId w:val="0"/>
        </w:numPr>
        <w:keepLines w:val="0"/>
        <w:keepNext w:val="0"/>
        <w:pageBreakBefore w:val="0"/>
        <w:spacing w:line="48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r>
      <w:r/>
    </w:p>
    <w:p>
      <w:pPr>
        <w:numPr>
          <w:ilvl w:val="0"/>
          <w:numId w:val="0"/>
        </w:numPr>
        <w:spacing w:line="480" w:lineRule="auto"/>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730"/>
        <w:jc w:val="center"/>
        <w:keepLines/>
        <w:keepNext/>
        <w:pageBreakBefore w:val="0"/>
        <w:spacing w:before="0" w:after="0" w:line="480" w:lineRule="auto"/>
        <w:widowControl w:val="off"/>
        <w:rPr>
          <w:rFonts w:hint="eastAsia" w:ascii="仿宋" w:hAnsi="仿宋" w:eastAsia="仿宋" w:cs="仿宋"/>
          <w:b/>
          <w:bCs/>
          <w:color w:val="auto"/>
          <w:highlight w:val="none"/>
        </w:rPr>
        <w:sectPr>
          <w:headerReference w:type="default" r:id="rId9"/>
          <w:footerReference w:type="default" r:id="rId10"/>
          <w:footnotePr/>
          <w:endnotePr/>
          <w:type w:val="nextPage"/>
          <w:pgSz w:w="11906" w:h="16838" w:orient="portrait"/>
          <w:pgMar w:top="1418" w:right="1588" w:bottom="1418" w:left="1365" w:header="851" w:footer="907" w:gutter="0"/>
          <w:pgNumType w:start="1"/>
          <w:cols w:num="1" w:sep="0" w:space="720" w:equalWidth="1"/>
          <w:docGrid w:linePitch="360"/>
          <w:titlePg/>
        </w:sectPr>
      </w:pPr>
      <w:r/>
      <w:bookmarkStart w:id="6" w:name="_Toc22897"/>
      <w:r/>
      <w:r/>
    </w:p>
    <w:p>
      <w:pPr>
        <w:pStyle w:val="730"/>
        <w:jc w:val="center"/>
        <w:keepLines/>
        <w:keepNext/>
        <w:pageBreakBefore w:val="0"/>
        <w:spacing w:before="0" w:after="0" w:line="480" w:lineRule="auto"/>
        <w:widowControl w:val="off"/>
        <w:rPr>
          <w:rFonts w:hint="eastAsia" w:ascii="仿宋" w:hAnsi="仿宋" w:eastAsia="仿宋" w:cs="仿宋"/>
          <w:bCs/>
          <w:color w:val="auto"/>
          <w:szCs w:val="44"/>
          <w:highlight w:val="none"/>
        </w:rPr>
      </w:pPr>
      <w:r>
        <w:rPr>
          <w:rFonts w:hint="eastAsia" w:ascii="仿宋" w:hAnsi="仿宋" w:eastAsia="仿宋" w:cs="仿宋"/>
          <w:b/>
          <w:bCs/>
          <w:color w:val="auto"/>
          <w:highlight w:val="none"/>
        </w:rPr>
        <w:t xml:space="preserve">第一章</w:t>
      </w:r>
      <w:bookmarkEnd w:id="0"/>
      <w:r>
        <w:rPr>
          <w:rStyle w:val="765"/>
          <w:rFonts w:hint="eastAsia" w:ascii="仿宋" w:hAnsi="仿宋" w:eastAsia="仿宋" w:cs="仿宋"/>
          <w:b/>
          <w:bCs/>
          <w:color w:val="auto"/>
          <w:highlight w:val="none"/>
        </w:rPr>
        <w:t xml:space="preserve">   </w:t>
      </w:r>
      <w:r>
        <w:rPr>
          <w:rFonts w:hint="eastAsia" w:ascii="仿宋" w:hAnsi="仿宋" w:eastAsia="仿宋" w:cs="仿宋"/>
          <w:b/>
          <w:bCs/>
          <w:color w:val="auto"/>
          <w:highlight w:val="none"/>
        </w:rPr>
        <w:t xml:space="preserve">投标邀请</w:t>
      </w:r>
      <w:bookmarkEnd w:id="6"/>
      <w:r/>
      <w:r/>
    </w:p>
    <w:p>
      <w:pPr>
        <w:ind w:left="0" w:firstLine="48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宿迁市医疗保障局</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的委托，</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宿迁市宏晟项目管理有限公司</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就</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宿迁市长期护理保险委托商保公司经办项目</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JSZC-321300-SQHS-G2025-0045</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项目进行公开招标采购，欢迎符合条件的投标人投标。</w:t>
      </w:r>
      <w:r/>
    </w:p>
    <w:p>
      <w:pPr>
        <w:ind w:left="0" w:firstLine="480"/>
        <w:pageBreakBefore w:val="0"/>
        <w:spacing w:line="560" w:lineRule="exact"/>
        <w:rPr>
          <w:rFonts w:hint="eastAsia"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rPr>
        <w:t xml:space="preserve">项目概况</w:t>
      </w:r>
      <w:r/>
    </w:p>
    <w:p>
      <w:pPr>
        <w:ind w:left="0" w:firstLine="480"/>
        <w:pageBreakBefore w:val="0"/>
        <w:spacing w:line="560" w:lineRule="exact"/>
        <w:rPr>
          <w:rFonts w:hint="eastAsia"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u w:val="single"/>
          <w:lang w:eastAsia="zh-CN"/>
        </w:rPr>
        <w:t xml:space="preserve">（宿迁市长期护理保险委托商保公司经办项目）</w:t>
      </w:r>
      <w:r>
        <w:rPr>
          <w:rFonts w:hint="eastAsia" w:ascii="仿宋" w:hAnsi="仿宋" w:eastAsia="仿宋" w:cs="仿宋"/>
          <w:color w:val="auto"/>
          <w:sz w:val="24"/>
          <w:szCs w:val="24"/>
          <w:highlight w:val="none"/>
        </w:rPr>
        <w:t xml:space="preserve">招标项目的潜在投标人可在</w:t>
      </w:r>
      <w:r>
        <w:rPr>
          <w:rFonts w:hint="eastAsia" w:ascii="仿宋" w:hAnsi="仿宋" w:eastAsia="仿宋" w:cs="仿宋"/>
          <w:color w:val="auto"/>
          <w:sz w:val="24"/>
          <w:szCs w:val="24"/>
          <w:highlight w:val="none"/>
          <w:u w:val="single"/>
        </w:rPr>
        <w:t xml:space="preserve">“宿迁市政府采购网”自行免费下载</w:t>
      </w:r>
      <w:r>
        <w:rPr>
          <w:rFonts w:hint="eastAsia" w:ascii="仿宋" w:hAnsi="仿宋" w:eastAsia="仿宋" w:cs="仿宋"/>
          <w:color w:val="auto"/>
          <w:sz w:val="24"/>
          <w:szCs w:val="24"/>
          <w:highlight w:val="none"/>
        </w:rPr>
        <w:t xml:space="preserve">招标文件，并于</w:t>
      </w:r>
      <w:r>
        <w:rPr>
          <w:rFonts w:hint="eastAsia" w:ascii="仿宋" w:hAnsi="仿宋" w:eastAsia="仿宋" w:cs="仿宋"/>
          <w:color w:val="auto"/>
          <w:sz w:val="24"/>
          <w:szCs w:val="24"/>
          <w:highlight w:val="none"/>
          <w:u w:val="single"/>
        </w:rPr>
        <w:t xml:space="preserve">202</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bCs/>
          <w:color w:val="auto"/>
          <w:sz w:val="24"/>
          <w:szCs w:val="24"/>
          <w:highlight w:val="none"/>
          <w:u w:val="single"/>
        </w:rPr>
        <w:t xml:space="preserve">年</w:t>
      </w:r>
      <w:r>
        <w:rPr>
          <w:rFonts w:hint="eastAsia" w:ascii="仿宋" w:hAnsi="仿宋" w:eastAsia="仿宋" w:cs="仿宋"/>
          <w:bCs/>
          <w:color w:val="auto"/>
          <w:sz w:val="24"/>
          <w:szCs w:val="24"/>
          <w:highlight w:val="none"/>
          <w:u w:val="single"/>
          <w:lang w:val="en-US" w:eastAsia="zh-CN"/>
        </w:rPr>
        <w:t xml:space="preserve">12</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29</w:t>
      </w:r>
      <w:r>
        <w:rPr>
          <w:rFonts w:hint="eastAsia" w:ascii="仿宋" w:hAnsi="仿宋" w:eastAsia="仿宋" w:cs="仿宋"/>
          <w:bCs/>
          <w:color w:val="auto"/>
          <w:sz w:val="24"/>
          <w:szCs w:val="24"/>
          <w:highlight w:val="none"/>
          <w:u w:val="single"/>
        </w:rPr>
        <w:t xml:space="preserve">日09点00分（</w:t>
      </w:r>
      <w:r>
        <w:rPr>
          <w:rFonts w:hint="eastAsia" w:ascii="仿宋" w:hAnsi="仿宋" w:eastAsia="仿宋" w:cs="仿宋"/>
          <w:bCs/>
          <w:color w:val="auto"/>
          <w:sz w:val="24"/>
          <w:szCs w:val="24"/>
          <w:highlight w:val="none"/>
        </w:rPr>
        <w:t xml:space="preserve">北京时间）前递交投标文件</w:t>
      </w:r>
      <w:r>
        <w:rPr>
          <w:rFonts w:hint="eastAsia" w:ascii="仿宋" w:hAnsi="仿宋" w:eastAsia="仿宋" w:cs="仿宋"/>
          <w:color w:val="auto"/>
          <w:sz w:val="24"/>
          <w:szCs w:val="24"/>
          <w:highlight w:val="none"/>
        </w:rPr>
        <w:t xml:space="preserve">。</w:t>
      </w:r>
      <w:r/>
    </w:p>
    <w:p>
      <w:pPr>
        <w:pStyle w:val="924"/>
        <w:ind w:firstLine="482"/>
        <w:pageBreakBefore w:val="0"/>
        <w:spacing w:before="0" w:after="0" w:line="560" w:lineRule="exact"/>
        <w:rPr>
          <w:rFonts w:hint="eastAsia" w:ascii="仿宋" w:hAnsi="仿宋" w:eastAsia="仿宋" w:cs="仿宋"/>
          <w:color w:val="auto"/>
          <w:sz w:val="24"/>
          <w:szCs w:val="24"/>
          <w:highlight w:val="none"/>
        </w:rPr>
      </w:pPr>
      <w:r/>
      <w:bookmarkStart w:id="7" w:name="_Toc35393621"/>
      <w:r/>
      <w:bookmarkStart w:id="8" w:name="_Toc35393790"/>
      <w:r/>
      <w:bookmarkStart w:id="9" w:name="_Toc38985263"/>
      <w:r/>
      <w:bookmarkStart w:id="10" w:name="_Toc28359002"/>
      <w:r/>
      <w:bookmarkStart w:id="11" w:name="_Toc28359079"/>
      <w:r/>
      <w:bookmarkStart w:id="12" w:name="_Hlk24379207"/>
      <w:r>
        <w:rPr>
          <w:rFonts w:hint="eastAsia" w:ascii="仿宋" w:hAnsi="仿宋" w:eastAsia="仿宋" w:cs="仿宋"/>
          <w:color w:val="auto"/>
          <w:sz w:val="24"/>
          <w:szCs w:val="24"/>
          <w:highlight w:val="none"/>
        </w:rPr>
        <w:t xml:space="preserve">一、项目基本情况</w:t>
      </w:r>
      <w:bookmarkEnd w:id="7"/>
      <w:r/>
      <w:bookmarkEnd w:id="8"/>
      <w:r/>
      <w:bookmarkEnd w:id="9"/>
      <w:r/>
      <w:bookmarkEnd w:id="10"/>
      <w:r/>
      <w:bookmarkEnd w:id="11"/>
      <w:r/>
      <w:r/>
    </w:p>
    <w:p>
      <w:pPr>
        <w:ind w:firstLine="480"/>
        <w:pageBreakBefore w:val="0"/>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1.项目编号：</w:t>
      </w:r>
      <w:r>
        <w:rPr>
          <w:rFonts w:hint="eastAsia" w:ascii="仿宋" w:hAnsi="仿宋" w:eastAsia="仿宋" w:cs="仿宋"/>
          <w:color w:val="auto"/>
          <w:sz w:val="24"/>
          <w:szCs w:val="24"/>
          <w:highlight w:val="none"/>
          <w:lang w:eastAsia="zh-CN"/>
        </w:rPr>
        <w:t xml:space="preserve">JSZC-321300-SQHS-G2025-0045</w:t>
      </w:r>
      <w:r/>
    </w:p>
    <w:p>
      <w:pPr>
        <w:ind w:firstLine="480"/>
        <w:pageBreakBefore w:val="0"/>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2.项目名称：</w:t>
      </w:r>
      <w:bookmarkEnd w:id="12"/>
      <w:r>
        <w:rPr>
          <w:rFonts w:hint="eastAsia" w:ascii="仿宋" w:hAnsi="仿宋" w:eastAsia="仿宋" w:cs="仿宋"/>
          <w:color w:val="auto"/>
          <w:sz w:val="24"/>
          <w:szCs w:val="24"/>
          <w:highlight w:val="none"/>
          <w:lang w:eastAsia="zh-CN"/>
        </w:rPr>
        <w:t xml:space="preserve">宿迁市长期护理保险委托商保公司经办项目</w:t>
      </w:r>
      <w:r/>
    </w:p>
    <w:p>
      <w:pPr>
        <w:ind w:firstLine="480"/>
        <w:pageBreakBefore w:val="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3.预算金额：</w:t>
      </w:r>
      <w:r>
        <w:rPr>
          <w:rFonts w:hint="eastAsia" w:ascii="仿宋" w:hAnsi="仿宋" w:eastAsia="仿宋" w:cs="仿宋"/>
          <w:color w:val="auto"/>
          <w:sz w:val="24"/>
          <w:szCs w:val="24"/>
          <w:highlight w:val="none"/>
          <w:lang w:val="en-US" w:eastAsia="zh-CN"/>
        </w:rPr>
        <w:t xml:space="preserve">总预算为3643万元，其中分包一预算金额为1930.79万元，分包二预算金额为983.61万元，分包三预算金额为209.837万元，分包四预算金额为139.891万元，分包五预算金额为91.075万元，分包六预算金额为69.581万元，分包七预算金额为66.667万元，分包八预算金额为60.838万元，分包九预算金额为46.266万元，分包十预算金额为44.445万元。</w:t>
      </w:r>
      <w:r/>
    </w:p>
    <w:p>
      <w:pPr>
        <w:ind w:firstLine="480"/>
        <w:pageBreakBefore w:val="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4.本项目设定最高限价，</w:t>
      </w:r>
      <w:r>
        <w:rPr>
          <w:rFonts w:hint="eastAsia" w:ascii="仿宋" w:hAnsi="仿宋" w:eastAsia="仿宋" w:cs="仿宋"/>
          <w:color w:val="auto"/>
          <w:sz w:val="24"/>
          <w:szCs w:val="24"/>
          <w:highlight w:val="none"/>
          <w:lang w:val="en-US" w:eastAsia="zh-CN"/>
        </w:rPr>
        <w:t xml:space="preserve">最高限价为3640万元；其中分包一最高限价为1929.20万元，分包二最高限价为982.80万元，分包三最高限价为209.664万元，分包四最高限价为139.776万元，分包五最高限价为91.00万元，分包六最高限价为69.524万元，分包七最高限价为66.612万元，分包八最高限价为60.788万元，分包九最高限价为46.228万元，分包十最高限价为44.408万元。</w:t>
      </w:r>
      <w:r/>
    </w:p>
    <w:p>
      <w:pPr>
        <w:ind w:firstLine="480"/>
        <w:pageBreakBefore w:val="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（1）承办服务费最高为按照3.2元/每服务一个参保人员·年）；</w:t>
      </w:r>
      <w:r/>
    </w:p>
    <w:p>
      <w:pPr>
        <w:ind w:firstLine="480"/>
        <w:pageBreakBefore w:val="0"/>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（2）亏损率（绝对值）期望值最高为2%。</w:t>
      </w:r>
      <w:r/>
    </w:p>
    <w:p>
      <w:pPr>
        <w:ind w:firstLine="480"/>
        <w:pageBreakBefore w:val="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注：因苏采云系统原因，“开标一览表”中的“投标报价”请按照“承办服务费”的报价填写，本项目以单价形式进行报价。</w:t>
      </w:r>
      <w:r/>
    </w:p>
    <w:p>
      <w:pPr>
        <w:ind w:firstLine="480"/>
        <w:pageBreakBefore w:val="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本项目以所有中标人承办服务费报价的平均值（含小数点后两位）作为最终承办服务费计提比例。</w:t>
      </w:r>
      <w:r/>
    </w:p>
    <w:p>
      <w:pPr>
        <w:ind w:firstLine="48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采购需求（简介）：为贯彻落实党的二十大关于建立长期护理保险制度的决策部署，根据《市政府关于建立长期护理保险制度的实施意见》（宿政规发〔2023〕6号）要求，宿迁市长期护理保险制度（以下简称“长护险”）实行市级统筹，全市统一基金管理、统一经办服务，统一招标确定承办机构。长护险承办服务费采购人留存用于考核部分，根据各承办机构经办服务的每期末考核结果进行拨付。由于各期参保人数中途可能发生变动，以各期实际划拨的保费为准。</w:t>
      </w:r>
      <w:r/>
    </w:p>
    <w:p>
      <w:pPr>
        <w:ind w:firstLine="480"/>
        <w:keepLines w:val="0"/>
        <w:keepNext w:val="0"/>
        <w:pageBreakBefore w:val="0"/>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按照</w:t>
      </w:r>
      <w:r>
        <w:rPr>
          <w:rFonts w:hint="eastAsia" w:ascii="仿宋" w:hAnsi="仿宋" w:eastAsia="仿宋" w:cs="仿宋"/>
          <w:color w:val="auto"/>
          <w:sz w:val="24"/>
          <w:szCs w:val="24"/>
          <w:highlight w:val="none"/>
          <w:lang w:val="en-US" w:eastAsia="zh-CN"/>
        </w:rPr>
        <w:t xml:space="preserve">承保份额</w:t>
      </w:r>
      <w:r>
        <w:rPr>
          <w:rFonts w:hint="eastAsia" w:ascii="仿宋" w:hAnsi="仿宋" w:eastAsia="仿宋" w:cs="仿宋"/>
          <w:color w:val="auto"/>
          <w:sz w:val="24"/>
          <w:szCs w:val="24"/>
          <w:highlight w:val="none"/>
          <w:lang w:val="en-US" w:eastAsia="zh-CN"/>
        </w:rPr>
        <w:t xml:space="preserve">分为十个采购包确定保险机构作为本项目的承保人</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分包一：最高限价为</w:t>
      </w:r>
      <w:r>
        <w:rPr>
          <w:rFonts w:hint="eastAsia" w:ascii="仿宋" w:hAnsi="仿宋" w:eastAsia="仿宋" w:cs="仿宋"/>
          <w:color w:val="auto"/>
          <w:sz w:val="24"/>
          <w:szCs w:val="24"/>
          <w:highlight w:val="none"/>
          <w:lang w:val="en-US" w:eastAsia="zh-CN"/>
        </w:rPr>
        <w:t xml:space="preserve">1929.20</w:t>
      </w:r>
      <w:r>
        <w:rPr>
          <w:rFonts w:hint="eastAsia" w:ascii="仿宋" w:hAnsi="仿宋" w:eastAsia="仿宋" w:cs="仿宋"/>
          <w:color w:val="auto"/>
          <w:sz w:val="24"/>
          <w:szCs w:val="24"/>
          <w:highlight w:val="none"/>
          <w:lang w:eastAsia="zh-CN"/>
        </w:rPr>
        <w:t xml:space="preserve">万元，</w:t>
      </w:r>
      <w:r>
        <w:rPr>
          <w:rFonts w:hint="eastAsia" w:ascii="仿宋" w:hAnsi="仿宋" w:eastAsia="仿宋" w:cs="仿宋"/>
          <w:color w:val="auto"/>
          <w:sz w:val="24"/>
          <w:szCs w:val="24"/>
          <w:highlight w:val="none"/>
          <w:lang w:val="en-US" w:eastAsia="zh-CN"/>
        </w:rPr>
        <w:t xml:space="preserve">承保份额为</w:t>
      </w:r>
      <w:r>
        <w:rPr>
          <w:rFonts w:hint="eastAsia" w:ascii="仿宋" w:hAnsi="仿宋" w:eastAsia="仿宋" w:cs="仿宋"/>
          <w:color w:val="auto"/>
          <w:sz w:val="24"/>
          <w:szCs w:val="24"/>
          <w:highlight w:val="none"/>
          <w:lang w:eastAsia="zh-CN"/>
        </w:rPr>
        <w:t xml:space="preserve">53%；</w:t>
      </w:r>
      <w:r/>
    </w:p>
    <w:p>
      <w:pPr>
        <w:ind w:firstLine="480"/>
        <w:keepLines w:val="0"/>
        <w:keepNext w:val="0"/>
        <w:pageBreakBefore w:val="0"/>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分包二：最高限价为</w:t>
      </w:r>
      <w:r>
        <w:rPr>
          <w:rFonts w:hint="eastAsia" w:ascii="仿宋" w:hAnsi="仿宋" w:eastAsia="仿宋" w:cs="仿宋"/>
          <w:color w:val="auto"/>
          <w:sz w:val="24"/>
          <w:szCs w:val="24"/>
          <w:highlight w:val="none"/>
          <w:lang w:val="en-US" w:eastAsia="zh-CN"/>
        </w:rPr>
        <w:t xml:space="preserve">982.80</w:t>
      </w:r>
      <w:r>
        <w:rPr>
          <w:rFonts w:hint="eastAsia" w:ascii="仿宋" w:hAnsi="仿宋" w:eastAsia="仿宋" w:cs="仿宋"/>
          <w:color w:val="auto"/>
          <w:sz w:val="24"/>
          <w:szCs w:val="24"/>
          <w:highlight w:val="none"/>
          <w:lang w:eastAsia="zh-CN"/>
        </w:rPr>
        <w:t xml:space="preserve">万元，</w:t>
      </w:r>
      <w:r>
        <w:rPr>
          <w:rFonts w:hint="eastAsia" w:ascii="仿宋" w:hAnsi="仿宋" w:eastAsia="仿宋" w:cs="仿宋"/>
          <w:color w:val="auto"/>
          <w:sz w:val="24"/>
          <w:szCs w:val="24"/>
          <w:highlight w:val="none"/>
          <w:lang w:val="en-US" w:eastAsia="zh-CN"/>
        </w:rPr>
        <w:t xml:space="preserve">承保份额为</w:t>
      </w:r>
      <w:r>
        <w:rPr>
          <w:rFonts w:hint="eastAsia" w:ascii="仿宋" w:hAnsi="仿宋" w:eastAsia="仿宋" w:cs="仿宋"/>
          <w:color w:val="auto"/>
          <w:sz w:val="24"/>
          <w:szCs w:val="24"/>
          <w:highlight w:val="none"/>
          <w:lang w:eastAsia="zh-CN"/>
        </w:rPr>
        <w:t xml:space="preserve">27%；</w:t>
      </w:r>
      <w:r/>
    </w:p>
    <w:p>
      <w:pPr>
        <w:ind w:firstLine="480"/>
        <w:keepLines w:val="0"/>
        <w:keepNext w:val="0"/>
        <w:pageBreakBefore w:val="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分包三：最高限价为</w:t>
      </w:r>
      <w:r>
        <w:rPr>
          <w:rFonts w:hint="eastAsia" w:ascii="仿宋" w:hAnsi="仿宋" w:eastAsia="仿宋" w:cs="仿宋"/>
          <w:color w:val="auto"/>
          <w:sz w:val="24"/>
          <w:szCs w:val="24"/>
          <w:highlight w:val="none"/>
          <w:lang w:val="en-US" w:eastAsia="zh-CN"/>
        </w:rPr>
        <w:t xml:space="preserve">209.664</w:t>
      </w:r>
      <w:r>
        <w:rPr>
          <w:rFonts w:hint="eastAsia" w:ascii="仿宋" w:hAnsi="仿宋" w:eastAsia="仿宋" w:cs="仿宋"/>
          <w:color w:val="auto"/>
          <w:sz w:val="24"/>
          <w:szCs w:val="24"/>
          <w:highlight w:val="none"/>
          <w:lang w:eastAsia="zh-CN"/>
        </w:rPr>
        <w:t xml:space="preserve">万元，</w:t>
      </w:r>
      <w:r>
        <w:rPr>
          <w:rFonts w:hint="eastAsia" w:ascii="仿宋" w:hAnsi="仿宋" w:eastAsia="仿宋" w:cs="仿宋"/>
          <w:color w:val="auto"/>
          <w:sz w:val="24"/>
          <w:szCs w:val="24"/>
          <w:highlight w:val="none"/>
          <w:lang w:val="en-US" w:eastAsia="zh-CN"/>
        </w:rPr>
        <w:t xml:space="preserve">承保份额为5.76%；</w:t>
      </w:r>
      <w:r/>
    </w:p>
    <w:p>
      <w:pPr>
        <w:ind w:firstLine="480"/>
        <w:keepLines w:val="0"/>
        <w:keepNext w:val="0"/>
        <w:pageBreakBefore w:val="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分包</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lang w:eastAsia="zh-CN"/>
        </w:rPr>
        <w:t xml:space="preserve">：最高限价为</w:t>
      </w:r>
      <w:r>
        <w:rPr>
          <w:rFonts w:hint="eastAsia" w:ascii="仿宋" w:hAnsi="仿宋" w:eastAsia="仿宋" w:cs="仿宋"/>
          <w:color w:val="auto"/>
          <w:sz w:val="24"/>
          <w:szCs w:val="24"/>
          <w:highlight w:val="none"/>
          <w:lang w:val="en-US" w:eastAsia="zh-CN"/>
        </w:rPr>
        <w:t xml:space="preserve">139.776</w:t>
      </w:r>
      <w:r>
        <w:rPr>
          <w:rFonts w:hint="eastAsia" w:ascii="仿宋" w:hAnsi="仿宋" w:eastAsia="仿宋" w:cs="仿宋"/>
          <w:color w:val="auto"/>
          <w:sz w:val="24"/>
          <w:szCs w:val="24"/>
          <w:highlight w:val="none"/>
          <w:lang w:eastAsia="zh-CN"/>
        </w:rPr>
        <w:t xml:space="preserve">万元，</w:t>
      </w:r>
      <w:r>
        <w:rPr>
          <w:rFonts w:hint="eastAsia" w:ascii="仿宋" w:hAnsi="仿宋" w:eastAsia="仿宋" w:cs="仿宋"/>
          <w:color w:val="auto"/>
          <w:sz w:val="24"/>
          <w:szCs w:val="24"/>
          <w:highlight w:val="none"/>
          <w:lang w:val="en-US" w:eastAsia="zh-CN"/>
        </w:rPr>
        <w:t xml:space="preserve">承保份额为3.84%；</w:t>
      </w:r>
      <w:r/>
    </w:p>
    <w:p>
      <w:pPr>
        <w:ind w:firstLine="480"/>
        <w:keepLines w:val="0"/>
        <w:keepNext w:val="0"/>
        <w:pageBreakBefore w:val="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分包</w:t>
      </w: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lang w:eastAsia="zh-CN"/>
        </w:rPr>
        <w:t xml:space="preserve">：最高限价为</w:t>
      </w:r>
      <w:r>
        <w:rPr>
          <w:rFonts w:hint="eastAsia" w:ascii="仿宋" w:hAnsi="仿宋" w:eastAsia="仿宋" w:cs="仿宋"/>
          <w:color w:val="auto"/>
          <w:sz w:val="24"/>
          <w:szCs w:val="24"/>
          <w:highlight w:val="none"/>
          <w:lang w:val="en-US" w:eastAsia="zh-CN"/>
        </w:rPr>
        <w:t xml:space="preserve">91.00</w:t>
      </w:r>
      <w:r>
        <w:rPr>
          <w:rFonts w:hint="eastAsia" w:ascii="仿宋" w:hAnsi="仿宋" w:eastAsia="仿宋" w:cs="仿宋"/>
          <w:color w:val="auto"/>
          <w:sz w:val="24"/>
          <w:szCs w:val="24"/>
          <w:highlight w:val="none"/>
          <w:lang w:eastAsia="zh-CN"/>
        </w:rPr>
        <w:t xml:space="preserve">万元，</w:t>
      </w:r>
      <w:r>
        <w:rPr>
          <w:rFonts w:hint="eastAsia" w:ascii="仿宋" w:hAnsi="仿宋" w:eastAsia="仿宋" w:cs="仿宋"/>
          <w:color w:val="auto"/>
          <w:sz w:val="24"/>
          <w:szCs w:val="24"/>
          <w:highlight w:val="none"/>
          <w:lang w:val="en-US" w:eastAsia="zh-CN"/>
        </w:rPr>
        <w:t xml:space="preserve">承保份额为2.50%；</w:t>
      </w:r>
      <w:r/>
    </w:p>
    <w:p>
      <w:pPr>
        <w:ind w:firstLine="480"/>
        <w:keepLines w:val="0"/>
        <w:keepNext w:val="0"/>
        <w:pageBreakBefore w:val="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分包</w:t>
      </w: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lang w:eastAsia="zh-CN"/>
        </w:rPr>
        <w:t xml:space="preserve">：最高限价为</w:t>
      </w:r>
      <w:r>
        <w:rPr>
          <w:rFonts w:hint="eastAsia" w:ascii="仿宋" w:hAnsi="仿宋" w:eastAsia="仿宋" w:cs="仿宋"/>
          <w:color w:val="auto"/>
          <w:sz w:val="24"/>
          <w:szCs w:val="24"/>
          <w:highlight w:val="none"/>
          <w:lang w:val="en-US" w:eastAsia="zh-CN"/>
        </w:rPr>
        <w:t xml:space="preserve">69.524</w:t>
      </w:r>
      <w:r>
        <w:rPr>
          <w:rFonts w:hint="eastAsia" w:ascii="仿宋" w:hAnsi="仿宋" w:eastAsia="仿宋" w:cs="仿宋"/>
          <w:color w:val="auto"/>
          <w:sz w:val="24"/>
          <w:szCs w:val="24"/>
          <w:highlight w:val="none"/>
          <w:lang w:eastAsia="zh-CN"/>
        </w:rPr>
        <w:t xml:space="preserve">万元，</w:t>
      </w:r>
      <w:r>
        <w:rPr>
          <w:rFonts w:hint="eastAsia" w:ascii="仿宋" w:hAnsi="仿宋" w:eastAsia="仿宋" w:cs="仿宋"/>
          <w:color w:val="auto"/>
          <w:sz w:val="24"/>
          <w:szCs w:val="24"/>
          <w:highlight w:val="none"/>
          <w:lang w:val="en-US" w:eastAsia="zh-CN"/>
        </w:rPr>
        <w:t xml:space="preserve">承保份额为1.91%；</w:t>
      </w:r>
      <w:r/>
    </w:p>
    <w:p>
      <w:pPr>
        <w:ind w:firstLine="480"/>
        <w:keepLines w:val="0"/>
        <w:keepNext w:val="0"/>
        <w:pageBreakBefore w:val="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分包</w:t>
      </w: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lang w:eastAsia="zh-CN"/>
        </w:rPr>
        <w:t xml:space="preserve">：最高限价为</w:t>
      </w:r>
      <w:r>
        <w:rPr>
          <w:rFonts w:hint="eastAsia" w:ascii="仿宋" w:hAnsi="仿宋" w:eastAsia="仿宋" w:cs="仿宋"/>
          <w:color w:val="auto"/>
          <w:sz w:val="24"/>
          <w:szCs w:val="24"/>
          <w:highlight w:val="none"/>
          <w:lang w:val="en-US" w:eastAsia="zh-CN"/>
        </w:rPr>
        <w:t xml:space="preserve">66.612</w:t>
      </w:r>
      <w:r>
        <w:rPr>
          <w:rFonts w:hint="eastAsia" w:ascii="仿宋" w:hAnsi="仿宋" w:eastAsia="仿宋" w:cs="仿宋"/>
          <w:color w:val="auto"/>
          <w:sz w:val="24"/>
          <w:szCs w:val="24"/>
          <w:highlight w:val="none"/>
          <w:lang w:eastAsia="zh-CN"/>
        </w:rPr>
        <w:t xml:space="preserve">万元，</w:t>
      </w:r>
      <w:r>
        <w:rPr>
          <w:rFonts w:hint="eastAsia" w:ascii="仿宋" w:hAnsi="仿宋" w:eastAsia="仿宋" w:cs="仿宋"/>
          <w:color w:val="auto"/>
          <w:sz w:val="24"/>
          <w:szCs w:val="24"/>
          <w:highlight w:val="none"/>
          <w:lang w:val="en-US" w:eastAsia="zh-CN"/>
        </w:rPr>
        <w:t xml:space="preserve">承保份额为1.83%；</w:t>
      </w:r>
      <w:r/>
    </w:p>
    <w:p>
      <w:pPr>
        <w:ind w:firstLine="480"/>
        <w:keepLines w:val="0"/>
        <w:keepNext w:val="0"/>
        <w:pageBreakBefore w:val="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分包</w:t>
      </w:r>
      <w:r>
        <w:rPr>
          <w:rFonts w:hint="eastAsia" w:ascii="仿宋" w:hAnsi="仿宋" w:eastAsia="仿宋" w:cs="仿宋"/>
          <w:color w:val="auto"/>
          <w:sz w:val="24"/>
          <w:szCs w:val="24"/>
          <w:highlight w:val="none"/>
          <w:lang w:val="en-US" w:eastAsia="zh-CN"/>
        </w:rPr>
        <w:t xml:space="preserve">八</w:t>
      </w:r>
      <w:r>
        <w:rPr>
          <w:rFonts w:hint="eastAsia" w:ascii="仿宋" w:hAnsi="仿宋" w:eastAsia="仿宋" w:cs="仿宋"/>
          <w:color w:val="auto"/>
          <w:sz w:val="24"/>
          <w:szCs w:val="24"/>
          <w:highlight w:val="none"/>
          <w:lang w:eastAsia="zh-CN"/>
        </w:rPr>
        <w:t xml:space="preserve">：最高限价为</w:t>
      </w:r>
      <w:r>
        <w:rPr>
          <w:rFonts w:hint="eastAsia" w:ascii="仿宋" w:hAnsi="仿宋" w:eastAsia="仿宋" w:cs="仿宋"/>
          <w:color w:val="auto"/>
          <w:sz w:val="24"/>
          <w:szCs w:val="24"/>
          <w:highlight w:val="none"/>
          <w:lang w:val="en-US" w:eastAsia="zh-CN"/>
        </w:rPr>
        <w:t xml:space="preserve">60.788</w:t>
      </w:r>
      <w:r>
        <w:rPr>
          <w:rFonts w:hint="eastAsia" w:ascii="仿宋" w:hAnsi="仿宋" w:eastAsia="仿宋" w:cs="仿宋"/>
          <w:color w:val="auto"/>
          <w:sz w:val="24"/>
          <w:szCs w:val="24"/>
          <w:highlight w:val="none"/>
          <w:lang w:eastAsia="zh-CN"/>
        </w:rPr>
        <w:t xml:space="preserve">万元，</w:t>
      </w:r>
      <w:r>
        <w:rPr>
          <w:rFonts w:hint="eastAsia" w:ascii="仿宋" w:hAnsi="仿宋" w:eastAsia="仿宋" w:cs="仿宋"/>
          <w:color w:val="auto"/>
          <w:sz w:val="24"/>
          <w:szCs w:val="24"/>
          <w:highlight w:val="none"/>
          <w:lang w:val="en-US" w:eastAsia="zh-CN"/>
        </w:rPr>
        <w:t xml:space="preserve">承保份额为1.67%；</w:t>
      </w:r>
      <w:r/>
    </w:p>
    <w:p>
      <w:pPr>
        <w:ind w:firstLine="480"/>
        <w:keepLines w:val="0"/>
        <w:keepNext w:val="0"/>
        <w:pageBreakBefore w:val="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分包</w:t>
      </w:r>
      <w:r>
        <w:rPr>
          <w:rFonts w:hint="eastAsia" w:ascii="仿宋" w:hAnsi="仿宋" w:eastAsia="仿宋" w:cs="仿宋"/>
          <w:color w:val="auto"/>
          <w:sz w:val="24"/>
          <w:szCs w:val="24"/>
          <w:highlight w:val="none"/>
          <w:lang w:val="en-US" w:eastAsia="zh-CN"/>
        </w:rPr>
        <w:t xml:space="preserve">九</w:t>
      </w:r>
      <w:r>
        <w:rPr>
          <w:rFonts w:hint="eastAsia" w:ascii="仿宋" w:hAnsi="仿宋" w:eastAsia="仿宋" w:cs="仿宋"/>
          <w:color w:val="auto"/>
          <w:sz w:val="24"/>
          <w:szCs w:val="24"/>
          <w:highlight w:val="none"/>
          <w:lang w:eastAsia="zh-CN"/>
        </w:rPr>
        <w:t xml:space="preserve">：最高限价为</w:t>
      </w:r>
      <w:r>
        <w:rPr>
          <w:rFonts w:hint="eastAsia" w:ascii="仿宋" w:hAnsi="仿宋" w:eastAsia="仿宋" w:cs="仿宋"/>
          <w:color w:val="auto"/>
          <w:sz w:val="24"/>
          <w:szCs w:val="24"/>
          <w:highlight w:val="none"/>
          <w:lang w:val="en-US" w:eastAsia="zh-CN"/>
        </w:rPr>
        <w:t xml:space="preserve">46.228</w:t>
      </w:r>
      <w:r>
        <w:rPr>
          <w:rFonts w:hint="eastAsia" w:ascii="仿宋" w:hAnsi="仿宋" w:eastAsia="仿宋" w:cs="仿宋"/>
          <w:color w:val="auto"/>
          <w:sz w:val="24"/>
          <w:szCs w:val="24"/>
          <w:highlight w:val="none"/>
          <w:lang w:eastAsia="zh-CN"/>
        </w:rPr>
        <w:t xml:space="preserve">万元，</w:t>
      </w:r>
      <w:r>
        <w:rPr>
          <w:rFonts w:hint="eastAsia" w:ascii="仿宋" w:hAnsi="仿宋" w:eastAsia="仿宋" w:cs="仿宋"/>
          <w:color w:val="auto"/>
          <w:sz w:val="24"/>
          <w:szCs w:val="24"/>
          <w:highlight w:val="none"/>
          <w:lang w:val="en-US" w:eastAsia="zh-CN"/>
        </w:rPr>
        <w:t xml:space="preserve">承保份额为1.27%；</w:t>
      </w:r>
      <w:r/>
    </w:p>
    <w:p>
      <w:pPr>
        <w:ind w:firstLine="480"/>
        <w:keepLines w:val="0"/>
        <w:keepNext w:val="0"/>
        <w:pageBreakBefore w:val="0"/>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分包</w:t>
      </w:r>
      <w:r>
        <w:rPr>
          <w:rFonts w:hint="eastAsia" w:ascii="仿宋" w:hAnsi="仿宋" w:eastAsia="仿宋" w:cs="仿宋"/>
          <w:color w:val="auto"/>
          <w:sz w:val="24"/>
          <w:szCs w:val="24"/>
          <w:highlight w:val="none"/>
          <w:lang w:val="en-US" w:eastAsia="zh-CN"/>
        </w:rPr>
        <w:t xml:space="preserve">十</w:t>
      </w:r>
      <w:r>
        <w:rPr>
          <w:rFonts w:hint="eastAsia" w:ascii="仿宋" w:hAnsi="仿宋" w:eastAsia="仿宋" w:cs="仿宋"/>
          <w:color w:val="auto"/>
          <w:sz w:val="24"/>
          <w:szCs w:val="24"/>
          <w:highlight w:val="none"/>
          <w:lang w:eastAsia="zh-CN"/>
        </w:rPr>
        <w:t xml:space="preserve">：最高限价为</w:t>
      </w:r>
      <w:r>
        <w:rPr>
          <w:rFonts w:hint="eastAsia" w:ascii="仿宋" w:hAnsi="仿宋" w:eastAsia="仿宋" w:cs="仿宋"/>
          <w:color w:val="auto"/>
          <w:sz w:val="24"/>
          <w:szCs w:val="24"/>
          <w:highlight w:val="none"/>
          <w:lang w:val="en-US" w:eastAsia="zh-CN"/>
        </w:rPr>
        <w:t xml:space="preserve">44.408</w:t>
      </w:r>
      <w:r>
        <w:rPr>
          <w:rFonts w:hint="eastAsia" w:ascii="仿宋" w:hAnsi="仿宋" w:eastAsia="仿宋" w:cs="仿宋"/>
          <w:color w:val="auto"/>
          <w:sz w:val="24"/>
          <w:szCs w:val="24"/>
          <w:highlight w:val="none"/>
          <w:lang w:eastAsia="zh-CN"/>
        </w:rPr>
        <w:t xml:space="preserve">万元，</w:t>
      </w:r>
      <w:r>
        <w:rPr>
          <w:rFonts w:hint="eastAsia" w:ascii="仿宋" w:hAnsi="仿宋" w:eastAsia="仿宋" w:cs="仿宋"/>
          <w:color w:val="auto"/>
          <w:sz w:val="24"/>
          <w:szCs w:val="24"/>
          <w:highlight w:val="none"/>
          <w:lang w:val="en-US" w:eastAsia="zh-CN"/>
        </w:rPr>
        <w:t xml:space="preserve">承保份额为1.22%</w:t>
      </w:r>
      <w:r>
        <w:rPr>
          <w:rFonts w:hint="eastAsia" w:ascii="仿宋" w:hAnsi="仿宋" w:eastAsia="仿宋" w:cs="仿宋"/>
          <w:color w:val="auto"/>
          <w:sz w:val="24"/>
          <w:szCs w:val="24"/>
          <w:highlight w:val="none"/>
          <w:lang w:eastAsia="zh-CN"/>
        </w:rPr>
        <w:t xml:space="preserve">。</w:t>
      </w:r>
      <w:r/>
    </w:p>
    <w:p>
      <w:pPr>
        <w:ind w:firstLine="480"/>
        <w:pageBreakBefore w:val="0"/>
        <w:spacing w:line="56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投标分包选择：</w:t>
      </w:r>
      <w:r>
        <w:rPr>
          <w:rFonts w:hint="eastAsia" w:ascii="仿宋" w:hAnsi="仿宋" w:eastAsia="仿宋" w:cs="仿宋"/>
          <w:color w:val="auto"/>
          <w:sz w:val="24"/>
          <w:szCs w:val="24"/>
          <w:highlight w:val="none"/>
          <w:lang w:eastAsia="zh-CN"/>
        </w:rPr>
        <w:t xml:space="preserve">为保证上述分包所涉及的县（区）</w:t>
      </w:r>
      <w:r>
        <w:rPr>
          <w:rFonts w:hint="eastAsia" w:ascii="仿宋" w:hAnsi="仿宋" w:eastAsia="仿宋" w:cs="仿宋"/>
          <w:color w:val="auto"/>
          <w:sz w:val="24"/>
          <w:szCs w:val="24"/>
          <w:highlight w:val="none"/>
          <w:lang w:eastAsia="zh-CN"/>
        </w:rPr>
        <w:t xml:space="preserve">长护险</w:t>
      </w:r>
      <w:r>
        <w:rPr>
          <w:rFonts w:hint="eastAsia" w:ascii="仿宋" w:hAnsi="仿宋" w:eastAsia="仿宋" w:cs="仿宋"/>
          <w:color w:val="auto"/>
          <w:sz w:val="24"/>
          <w:szCs w:val="24"/>
          <w:highlight w:val="none"/>
          <w:lang w:eastAsia="zh-CN"/>
        </w:rPr>
        <w:t xml:space="preserve">工作推进的同步性，</w:t>
      </w:r>
      <w:r>
        <w:rPr>
          <w:rFonts w:hint="eastAsia" w:ascii="仿宋" w:hAnsi="仿宋" w:eastAsia="仿宋" w:cs="仿宋"/>
          <w:color w:val="auto"/>
          <w:sz w:val="24"/>
          <w:szCs w:val="24"/>
          <w:highlight w:val="none"/>
        </w:rPr>
        <w:t xml:space="preserve">投标人可参与任意分包或全部分包的投标。</w:t>
      </w:r>
      <w:r/>
    </w:p>
    <w:p>
      <w:pPr>
        <w:ind w:firstLine="480"/>
        <w:pageBreakBefore w:val="0"/>
        <w:spacing w:line="56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开标顺序：按分包序号从小到大依次，即先开分包一，</w:t>
      </w:r>
      <w:r>
        <w:rPr>
          <w:rFonts w:hint="eastAsia" w:ascii="仿宋" w:hAnsi="仿宋" w:eastAsia="仿宋" w:cs="仿宋"/>
          <w:color w:val="auto"/>
          <w:sz w:val="24"/>
          <w:szCs w:val="24"/>
          <w:highlight w:val="none"/>
          <w:lang w:val="en-US" w:eastAsia="zh-CN"/>
        </w:rPr>
        <w:t xml:space="preserve">再</w:t>
      </w:r>
      <w:r>
        <w:rPr>
          <w:rFonts w:hint="eastAsia" w:ascii="仿宋" w:hAnsi="仿宋" w:eastAsia="仿宋" w:cs="仿宋"/>
          <w:color w:val="auto"/>
          <w:sz w:val="24"/>
          <w:szCs w:val="24"/>
          <w:highlight w:val="none"/>
        </w:rPr>
        <w:t xml:space="preserve">开分包二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后开分包</w:t>
      </w:r>
      <w:r>
        <w:rPr>
          <w:rFonts w:hint="eastAsia" w:ascii="仿宋" w:hAnsi="仿宋" w:eastAsia="仿宋" w:cs="仿宋"/>
          <w:color w:val="auto"/>
          <w:sz w:val="24"/>
          <w:szCs w:val="24"/>
          <w:highlight w:val="none"/>
          <w:lang w:val="en-US" w:eastAsia="zh-CN"/>
        </w:rPr>
        <w:t xml:space="preserve">三，以此类推</w:t>
      </w:r>
      <w:r>
        <w:rPr>
          <w:rFonts w:hint="eastAsia" w:ascii="仿宋" w:hAnsi="仿宋" w:eastAsia="仿宋" w:cs="仿宋"/>
          <w:color w:val="auto"/>
          <w:sz w:val="24"/>
          <w:szCs w:val="24"/>
          <w:highlight w:val="none"/>
        </w:rPr>
        <w:t xml:space="preserve">。评标顺序同开标顺序。</w:t>
      </w:r>
      <w:r/>
    </w:p>
    <w:p>
      <w:pPr>
        <w:ind w:firstLine="480"/>
        <w:pageBreakBefore w:val="0"/>
        <w:spacing w:line="56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定标原则：</w:t>
      </w:r>
      <w:r>
        <w:rPr>
          <w:rFonts w:hint="eastAsia" w:ascii="仿宋" w:hAnsi="仿宋" w:eastAsia="仿宋" w:cs="仿宋"/>
          <w:color w:val="auto"/>
          <w:sz w:val="24"/>
          <w:szCs w:val="24"/>
          <w:highlight w:val="none"/>
          <w:lang w:val="en-US" w:eastAsia="zh-CN"/>
        </w:rPr>
        <w:t xml:space="preserve">按“兼投不兼中”的原则，</w:t>
      </w:r>
      <w:r>
        <w:rPr>
          <w:rFonts w:hint="eastAsia" w:ascii="仿宋" w:hAnsi="仿宋" w:eastAsia="仿宋" w:cs="仿宋"/>
          <w:color w:val="auto"/>
          <w:sz w:val="24"/>
          <w:szCs w:val="24"/>
          <w:highlight w:val="none"/>
        </w:rPr>
        <w:t xml:space="preserve">每位投标人只能在一个分包上中标。如某投标人已在分包一被推荐为第一中标候选人的，则其参与分包二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分包三</w:t>
      </w:r>
      <w:r>
        <w:rPr>
          <w:rFonts w:hint="eastAsia" w:ascii="仿宋" w:hAnsi="仿宋" w:eastAsia="仿宋" w:cs="仿宋"/>
          <w:color w:val="auto"/>
          <w:sz w:val="24"/>
          <w:szCs w:val="24"/>
          <w:highlight w:val="none"/>
        </w:rPr>
        <w:t xml:space="preserve">评标，但在分包二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分包三</w:t>
      </w:r>
      <w:r>
        <w:rPr>
          <w:rFonts w:hint="eastAsia" w:ascii="仿宋" w:hAnsi="仿宋" w:eastAsia="仿宋" w:cs="仿宋"/>
          <w:color w:val="auto"/>
          <w:sz w:val="24"/>
          <w:szCs w:val="24"/>
          <w:highlight w:val="none"/>
        </w:rPr>
        <w:t xml:space="preserve">不参与推荐中标候选人的排序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以此类推，若有分包无合格中标候选人，则该分包份额由分包一中标候选人承担。</w:t>
      </w:r>
      <w:r>
        <w:rPr>
          <w:rFonts w:hint="eastAsia" w:ascii="仿宋" w:hAnsi="仿宋" w:eastAsia="仿宋" w:cs="仿宋"/>
          <w:color w:val="auto"/>
          <w:sz w:val="24"/>
          <w:szCs w:val="24"/>
          <w:highlight w:val="none"/>
        </w:rPr>
        <w:t xml:space="preserve">（详细内容见本招标文件第四章）</w:t>
      </w:r>
      <w:r/>
    </w:p>
    <w:p>
      <w:pPr>
        <w:ind w:firstLine="480"/>
        <w:pageBreakBefore w:val="0"/>
        <w:spacing w:line="56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注：评审结束后，若其中一个分包受到质疑投诉等原因，导致本分包评审结果改变，但不影响其他分包的评审结果。</w:t>
      </w:r>
      <w:r/>
    </w:p>
    <w:p>
      <w:pPr>
        <w:ind w:firstLine="482"/>
        <w:pageBreakBefore w:val="0"/>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.合同履行期限：</w:t>
      </w:r>
      <w:r>
        <w:rPr>
          <w:rFonts w:hint="eastAsia" w:ascii="仿宋" w:hAnsi="仿宋" w:eastAsia="仿宋" w:cs="仿宋"/>
          <w:b/>
          <w:bCs/>
          <w:color w:val="auto"/>
          <w:sz w:val="24"/>
          <w:szCs w:val="24"/>
          <w:highlight w:val="none"/>
          <w:lang w:eastAsia="zh-CN"/>
        </w:rPr>
        <w:t xml:space="preserve">2026年1月1日至2026年12月31日。</w:t>
      </w:r>
      <w:r/>
    </w:p>
    <w:p>
      <w:pPr>
        <w:ind w:firstLine="482"/>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rPr>
        <w:t xml:space="preserve">.本项目</w:t>
      </w:r>
      <w:r>
        <w:rPr>
          <w:rFonts w:hint="eastAsia" w:ascii="仿宋" w:hAnsi="仿宋" w:eastAsia="仿宋" w:cs="仿宋"/>
          <w:b/>
          <w:bCs/>
          <w:color w:val="auto"/>
          <w:sz w:val="24"/>
          <w:szCs w:val="24"/>
          <w:highlight w:val="none"/>
          <w:lang w:val="en-US" w:eastAsia="zh-CN"/>
        </w:rPr>
        <w:t xml:space="preserve">十</w:t>
      </w:r>
      <w:r>
        <w:rPr>
          <w:rFonts w:hint="eastAsia" w:ascii="仿宋" w:hAnsi="仿宋" w:eastAsia="仿宋" w:cs="仿宋"/>
          <w:b/>
          <w:bCs/>
          <w:color w:val="auto"/>
          <w:sz w:val="24"/>
          <w:szCs w:val="24"/>
          <w:highlight w:val="none"/>
        </w:rPr>
        <w:t xml:space="preserve">个分包均 </w:t>
      </w:r>
      <w:r>
        <w:rPr>
          <w:rFonts w:hint="eastAsia" w:ascii="仿宋" w:hAnsi="仿宋" w:eastAsia="仿宋" w:cs="仿宋"/>
          <w:b/>
          <w:bCs/>
          <w:color w:val="auto"/>
          <w:sz w:val="24"/>
          <w:szCs w:val="24"/>
          <w:highlight w:val="none"/>
          <w:u w:val="single"/>
        </w:rPr>
        <w:t xml:space="preserve"> 不接受 </w:t>
      </w:r>
      <w:r>
        <w:rPr>
          <w:rFonts w:hint="eastAsia" w:ascii="仿宋" w:hAnsi="仿宋" w:eastAsia="仿宋" w:cs="仿宋"/>
          <w:b/>
          <w:bCs/>
          <w:color w:val="auto"/>
          <w:sz w:val="24"/>
          <w:szCs w:val="24"/>
          <w:highlight w:val="none"/>
        </w:rPr>
        <w:t xml:space="preserve">联合体投标（接受/不接受）。</w:t>
      </w:r>
      <w:r/>
    </w:p>
    <w:p>
      <w:pPr>
        <w:pStyle w:val="924"/>
        <w:ind w:firstLine="482"/>
        <w:pageBreakBefore w:val="0"/>
        <w:spacing w:before="0" w:after="0" w:line="560" w:lineRule="exact"/>
        <w:rPr>
          <w:rFonts w:hint="eastAsia" w:ascii="仿宋" w:hAnsi="仿宋" w:eastAsia="仿宋" w:cs="仿宋"/>
          <w:color w:val="auto"/>
          <w:sz w:val="24"/>
          <w:szCs w:val="24"/>
          <w:highlight w:val="none"/>
        </w:rPr>
      </w:pPr>
      <w:r/>
      <w:bookmarkStart w:id="13" w:name="_Toc28359003"/>
      <w:r/>
      <w:bookmarkStart w:id="14" w:name="_Toc28359080"/>
      <w:r/>
      <w:bookmarkStart w:id="15" w:name="_Toc35393622"/>
      <w:r/>
      <w:bookmarkStart w:id="16" w:name="_Toc38985264"/>
      <w:r/>
      <w:bookmarkStart w:id="17" w:name="_Toc35393791"/>
      <w:r>
        <w:rPr>
          <w:rFonts w:hint="eastAsia" w:ascii="仿宋" w:hAnsi="仿宋" w:eastAsia="仿宋" w:cs="仿宋"/>
          <w:color w:val="auto"/>
          <w:sz w:val="24"/>
          <w:szCs w:val="24"/>
          <w:highlight w:val="none"/>
        </w:rPr>
        <w:t xml:space="preserve">二、申请人</w:t>
      </w:r>
      <w:r>
        <w:rPr>
          <w:rFonts w:hint="eastAsia" w:ascii="仿宋" w:hAnsi="仿宋" w:eastAsia="仿宋" w:cs="仿宋"/>
          <w:color w:val="auto"/>
          <w:sz w:val="24"/>
          <w:szCs w:val="24"/>
          <w:highlight w:val="none"/>
        </w:rPr>
        <w:t xml:space="preserve">（分包一至分包十）</w:t>
      </w:r>
      <w:r>
        <w:rPr>
          <w:rFonts w:hint="eastAsia" w:ascii="仿宋" w:hAnsi="仿宋" w:eastAsia="仿宋" w:cs="仿宋"/>
          <w:color w:val="auto"/>
          <w:sz w:val="24"/>
          <w:szCs w:val="24"/>
          <w:highlight w:val="none"/>
        </w:rPr>
        <w:t xml:space="preserve">的资格要求</w:t>
      </w:r>
      <w:bookmarkEnd w:id="13"/>
      <w:r/>
      <w:bookmarkEnd w:id="14"/>
      <w:r/>
      <w:bookmarkEnd w:id="15"/>
      <w:r/>
      <w:bookmarkEnd w:id="16"/>
      <w:r/>
      <w:bookmarkEnd w:id="17"/>
      <w:r/>
      <w:r/>
    </w:p>
    <w:p>
      <w:pPr>
        <w:ind w:firstLine="482"/>
        <w:pageBreakBefore w:val="0"/>
        <w:spacing w:line="560" w:lineRule="exact"/>
        <w:rPr>
          <w:rFonts w:hint="eastAsia" w:ascii="仿宋" w:hAnsi="仿宋" w:eastAsia="仿宋" w:cs="仿宋"/>
          <w:b/>
          <w:bCs/>
          <w:color w:val="auto"/>
          <w:sz w:val="24"/>
          <w:szCs w:val="24"/>
          <w:highlight w:val="none"/>
        </w:rPr>
      </w:pPr>
      <w:r/>
      <w:bookmarkStart w:id="18" w:name="_Toc35393792"/>
      <w:r/>
      <w:bookmarkStart w:id="19" w:name="_Toc28359004"/>
      <w:r/>
      <w:bookmarkStart w:id="20" w:name="_Toc38985265"/>
      <w:r/>
      <w:bookmarkStart w:id="21" w:name="_Toc28359081"/>
      <w:r/>
      <w:bookmarkStart w:id="22" w:name="_Toc35393623"/>
      <w:r>
        <w:rPr>
          <w:rFonts w:hint="eastAsia" w:ascii="仿宋" w:hAnsi="仿宋" w:eastAsia="仿宋" w:cs="仿宋"/>
          <w:b/>
          <w:bCs/>
          <w:color w:val="auto"/>
          <w:sz w:val="24"/>
          <w:szCs w:val="24"/>
          <w:highlight w:val="none"/>
        </w:rPr>
        <w:t xml:space="preserve">（一）通用资格要求</w:t>
      </w:r>
      <w:r/>
    </w:p>
    <w:p>
      <w:pPr>
        <w:ind w:firstLine="482"/>
        <w:pageBreakBefore w:val="0"/>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1.具备《中华人民共和国政府采购法》第二十二条第一款规定的6项条件（按要求提供投标声明及承诺函）。</w:t>
      </w:r>
      <w:r/>
    </w:p>
    <w:p>
      <w:pPr>
        <w:ind w:firstLine="48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2.信用信息。信用信息查询渠道：“信用中国”网（www.creditchina.gov.cn）、“中国政府采购”网（www.ccgp.gov.cn）、江苏政府采购网（www.ccgp-jiangsu.gov.cn）。</w:t>
      </w:r>
      <w:r/>
    </w:p>
    <w:p>
      <w:pPr>
        <w:ind w:firstLine="48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信用信息的使用规则：</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被列入失信被执行人、重大税收违法失信主体、政府采购严重违法失信行为记录名单及其他不符合《中华人民共和国政府采购法》第二十二条规定条件的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，将拒绝其参与政府采购活动。（投标文件中无需提供证明材料）。</w:t>
      </w:r>
      <w:r/>
    </w:p>
    <w:p>
      <w:pPr>
        <w:ind w:firstLine="48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查询截止时点：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p>
      <w:pPr>
        <w:ind w:firstLine="480"/>
        <w:pageBreakBefore w:val="0"/>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3.落实政府采购政策需满足的资格要求：无</w:t>
      </w:r>
      <w:r>
        <w:rPr>
          <w:rFonts w:hint="eastAsia" w:ascii="仿宋" w:hAnsi="仿宋" w:eastAsia="仿宋" w:cs="仿宋"/>
          <w:color w:val="auto"/>
          <w:sz w:val="24"/>
          <w:szCs w:val="24"/>
          <w:highlight w:val="none"/>
          <w:lang w:eastAsia="zh-CN"/>
        </w:rPr>
        <w:t xml:space="preserve">。</w:t>
      </w:r>
      <w:r/>
    </w:p>
    <w:p>
      <w:pPr>
        <w:ind w:firstLine="480"/>
        <w:pageBreakBefore w:val="0"/>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（二）本项目（</w:t>
      </w:r>
      <w:r>
        <w:rPr>
          <w:rFonts w:hint="eastAsia" w:ascii="仿宋" w:hAnsi="仿宋" w:eastAsia="仿宋" w:cs="仿宋"/>
          <w:b/>
          <w:bCs/>
          <w:color w:val="auto"/>
          <w:sz w:val="24"/>
          <w:szCs w:val="24"/>
          <w:highlight w:val="none"/>
          <w:lang w:eastAsia="zh-CN"/>
        </w:rPr>
        <w:t xml:space="preserve">分包一至分包十</w:t>
      </w:r>
      <w:r>
        <w:rPr>
          <w:rFonts w:hint="eastAsia" w:ascii="仿宋" w:hAnsi="仿宋" w:eastAsia="仿宋" w:cs="仿宋"/>
          <w:b/>
          <w:bCs/>
          <w:color w:val="auto"/>
          <w:sz w:val="24"/>
          <w:szCs w:val="24"/>
          <w:highlight w:val="none"/>
        </w:rPr>
        <w:t xml:space="preserve">）的特定资格要求</w:t>
      </w:r>
      <w:r/>
    </w:p>
    <w:p>
      <w:pPr>
        <w:pStyle w:val="924"/>
        <w:ind w:firstLine="482"/>
        <w:pageBreakBefore w:val="0"/>
        <w:spacing w:before="0" w:after="0" w:line="56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投标人须是经中国银行保险监督管理委员会或国家金融监管局批准的中国境内保险公司，取得《保险公司法人许可证》、《经营保险业务许可证》的法人机构或其分支机构</w:t>
      </w:r>
      <w:r>
        <w:rPr>
          <w:rFonts w:hint="eastAsia" w:ascii="仿宋" w:hAnsi="仿宋" w:eastAsia="仿宋" w:cs="仿宋"/>
          <w:b w:val="0"/>
          <w:bCs w:val="0"/>
          <w:color w:val="auto"/>
          <w:sz w:val="24"/>
          <w:szCs w:val="24"/>
          <w:highlight w:val="none"/>
        </w:rPr>
        <w:t xml:space="preserve">。</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人如果不具备独立法人资格的分公司，则须提供其具有独立法人资格的上级总（母）公司对其出具的有效授权。同一保险集团公司的不同分（子）公司，不得同时参加本项目投标，否则相关投标人均按无效标处理。</w:t>
      </w:r>
      <w:r/>
    </w:p>
    <w:p>
      <w:pPr>
        <w:pStyle w:val="924"/>
        <w:ind w:firstLine="482"/>
        <w:pageBreakBefore w:val="0"/>
        <w:spacing w:before="0" w:after="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三、获取招标文件</w:t>
      </w:r>
      <w:bookmarkEnd w:id="18"/>
      <w:r/>
      <w:bookmarkEnd w:id="19"/>
      <w:r/>
      <w:bookmarkEnd w:id="20"/>
      <w:r/>
      <w:bookmarkEnd w:id="21"/>
      <w:r/>
      <w:bookmarkEnd w:id="22"/>
      <w:r/>
      <w:r/>
    </w:p>
    <w:p>
      <w:pPr>
        <w:ind w:firstLine="482"/>
        <w:pageBreakBefore w:val="0"/>
        <w:spacing w:line="560" w:lineRule="exact"/>
        <w:rPr>
          <w:rFonts w:hint="eastAsia" w:ascii="仿宋" w:hAnsi="仿宋" w:eastAsia="仿宋" w:cs="仿宋"/>
          <w:b/>
          <w:bCs/>
          <w:color w:val="auto"/>
          <w:sz w:val="24"/>
          <w:szCs w:val="24"/>
          <w:highlight w:val="none"/>
        </w:rPr>
      </w:pPr>
      <w:r/>
      <w:bookmarkStart w:id="23" w:name="_Toc28359005"/>
      <w:r/>
      <w:bookmarkStart w:id="24" w:name="_Toc28359082"/>
      <w:r/>
      <w:bookmarkStart w:id="25" w:name="_Toc35393624"/>
      <w:r/>
      <w:bookmarkStart w:id="26" w:name="_Toc35393793"/>
      <w:r/>
      <w:bookmarkStart w:id="27" w:name="_Toc38985266"/>
      <w:r>
        <w:rPr>
          <w:rFonts w:hint="eastAsia" w:ascii="仿宋" w:hAnsi="仿宋" w:eastAsia="仿宋" w:cs="仿宋"/>
          <w:b/>
          <w:bCs/>
          <w:color w:val="auto"/>
          <w:sz w:val="24"/>
          <w:szCs w:val="24"/>
          <w:highlight w:val="none"/>
        </w:rPr>
        <w:t xml:space="preserve">1.时间：202</w:t>
      </w:r>
      <w:r>
        <w:rPr>
          <w:rFonts w:hint="eastAsia" w:ascii="仿宋" w:hAnsi="仿宋" w:eastAsia="仿宋" w:cs="仿宋"/>
          <w:b/>
          <w:bCs/>
          <w:color w:val="auto"/>
          <w:sz w:val="24"/>
          <w:szCs w:val="24"/>
          <w:highlight w:val="none"/>
          <w:lang w:val="en-US" w:eastAsia="zh-CN"/>
        </w:rPr>
        <w:t xml:space="preserve">5</w:t>
      </w:r>
      <w:r>
        <w:rPr>
          <w:rFonts w:hint="eastAsia" w:ascii="仿宋" w:hAnsi="仿宋" w:eastAsia="仿宋" w:cs="仿宋"/>
          <w:b/>
          <w:bCs/>
          <w:color w:val="auto"/>
          <w:sz w:val="24"/>
          <w:szCs w:val="24"/>
          <w:highlight w:val="none"/>
        </w:rPr>
        <w:t xml:space="preserve">年</w:t>
      </w:r>
      <w:r>
        <w:rPr>
          <w:rFonts w:hint="eastAsia" w:ascii="仿宋" w:hAnsi="仿宋" w:eastAsia="仿宋" w:cs="仿宋"/>
          <w:b/>
          <w:bCs/>
          <w:color w:val="auto"/>
          <w:sz w:val="24"/>
          <w:szCs w:val="24"/>
          <w:highlight w:val="none"/>
          <w:lang w:val="en-US" w:eastAsia="zh-CN"/>
        </w:rPr>
        <w:t xml:space="preserve">12</w:t>
      </w:r>
      <w:r>
        <w:rPr>
          <w:rFonts w:hint="eastAsia" w:ascii="仿宋" w:hAnsi="仿宋" w:eastAsia="仿宋" w:cs="仿宋"/>
          <w:b/>
          <w:bCs/>
          <w:color w:val="auto"/>
          <w:sz w:val="24"/>
          <w:szCs w:val="24"/>
          <w:highlight w:val="none"/>
        </w:rPr>
        <w:t xml:space="preserve">月</w:t>
      </w:r>
      <w:r>
        <w:rPr>
          <w:rFonts w:hint="eastAsia" w:ascii="仿宋" w:hAnsi="仿宋" w:eastAsia="仿宋" w:cs="仿宋"/>
          <w:b/>
          <w:bCs/>
          <w:color w:val="auto"/>
          <w:sz w:val="24"/>
          <w:szCs w:val="24"/>
          <w:highlight w:val="none"/>
          <w:lang w:val="en-US" w:eastAsia="zh-CN"/>
        </w:rPr>
        <w:t xml:space="preserve">09</w:t>
      </w:r>
      <w:r>
        <w:rPr>
          <w:rFonts w:hint="eastAsia" w:ascii="仿宋" w:hAnsi="仿宋" w:eastAsia="仿宋" w:cs="仿宋"/>
          <w:b/>
          <w:bCs/>
          <w:color w:val="auto"/>
          <w:sz w:val="24"/>
          <w:szCs w:val="24"/>
          <w:highlight w:val="none"/>
        </w:rPr>
        <w:t xml:space="preserve">日</w:t>
      </w:r>
      <w:r>
        <w:rPr>
          <w:rFonts w:hint="eastAsia" w:ascii="仿宋" w:hAnsi="仿宋" w:eastAsia="仿宋" w:cs="仿宋"/>
          <w:b/>
          <w:bCs/>
          <w:color w:val="auto"/>
          <w:sz w:val="24"/>
          <w:szCs w:val="24"/>
          <w:highlight w:val="none"/>
          <w:lang w:val="en-US" w:eastAsia="zh-CN"/>
        </w:rPr>
        <w:t xml:space="preserve">09:00</w:t>
      </w:r>
      <w:r>
        <w:rPr>
          <w:rFonts w:hint="eastAsia" w:ascii="仿宋" w:hAnsi="仿宋" w:eastAsia="仿宋" w:cs="仿宋"/>
          <w:b/>
          <w:bCs/>
          <w:color w:val="auto"/>
          <w:sz w:val="24"/>
          <w:szCs w:val="24"/>
          <w:highlight w:val="none"/>
        </w:rPr>
        <w:t xml:space="preserve">至202</w:t>
      </w:r>
      <w:r>
        <w:rPr>
          <w:rFonts w:hint="eastAsia" w:ascii="仿宋" w:hAnsi="仿宋" w:eastAsia="仿宋" w:cs="仿宋"/>
          <w:b/>
          <w:bCs/>
          <w:color w:val="auto"/>
          <w:sz w:val="24"/>
          <w:szCs w:val="24"/>
          <w:highlight w:val="none"/>
          <w:lang w:val="en-US" w:eastAsia="zh-CN"/>
        </w:rPr>
        <w:t xml:space="preserve">5</w:t>
      </w:r>
      <w:r>
        <w:rPr>
          <w:rFonts w:hint="eastAsia" w:ascii="仿宋" w:hAnsi="仿宋" w:eastAsia="仿宋" w:cs="仿宋"/>
          <w:b/>
          <w:bCs/>
          <w:color w:val="auto"/>
          <w:sz w:val="24"/>
          <w:szCs w:val="24"/>
          <w:highlight w:val="none"/>
        </w:rPr>
        <w:t xml:space="preserve">年</w:t>
      </w:r>
      <w:r>
        <w:rPr>
          <w:rFonts w:hint="eastAsia" w:ascii="仿宋" w:hAnsi="仿宋" w:eastAsia="仿宋" w:cs="仿宋"/>
          <w:b/>
          <w:bCs/>
          <w:color w:val="auto"/>
          <w:sz w:val="24"/>
          <w:szCs w:val="24"/>
          <w:highlight w:val="none"/>
          <w:lang w:val="en-US" w:eastAsia="zh-CN"/>
        </w:rPr>
        <w:t xml:space="preserve">12</w:t>
      </w:r>
      <w:r>
        <w:rPr>
          <w:rFonts w:hint="eastAsia" w:ascii="仿宋" w:hAnsi="仿宋" w:eastAsia="仿宋" w:cs="仿宋"/>
          <w:b/>
          <w:bCs/>
          <w:color w:val="auto"/>
          <w:sz w:val="24"/>
          <w:szCs w:val="24"/>
          <w:highlight w:val="none"/>
        </w:rPr>
        <w:t xml:space="preserve">月</w:t>
      </w:r>
      <w:r>
        <w:rPr>
          <w:rFonts w:hint="eastAsia" w:ascii="仿宋" w:hAnsi="仿宋" w:eastAsia="仿宋" w:cs="仿宋"/>
          <w:b/>
          <w:bCs/>
          <w:color w:val="auto"/>
          <w:sz w:val="24"/>
          <w:szCs w:val="24"/>
          <w:highlight w:val="none"/>
          <w:lang w:val="en-US" w:eastAsia="zh-CN"/>
        </w:rPr>
        <w:t xml:space="preserve">15</w:t>
      </w:r>
      <w:r>
        <w:rPr>
          <w:rFonts w:hint="eastAsia" w:ascii="仿宋" w:hAnsi="仿宋" w:eastAsia="仿宋" w:cs="仿宋"/>
          <w:b/>
          <w:bCs/>
          <w:color w:val="auto"/>
          <w:sz w:val="24"/>
          <w:szCs w:val="24"/>
          <w:highlight w:val="none"/>
        </w:rPr>
        <w:t xml:space="preserve">日17</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30（北京时间）。</w:t>
      </w:r>
      <w:r/>
    </w:p>
    <w:p>
      <w:pPr>
        <w:ind w:firstLine="48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pageBreakBefore w:val="0"/>
        <w:spacing w:line="560" w:lineRule="exact"/>
        <w:rPr>
          <w:rFonts w:hint="eastAsia" w:ascii="仿宋" w:hAnsi="仿宋" w:eastAsia="仿宋" w:cs="仿宋"/>
          <w:color w:val="auto"/>
          <w:sz w:val="24"/>
          <w:szCs w:val="24"/>
          <w:highlight w:val="none"/>
        </w:rPr>
      </w:pPr>
      <w:r/>
      <w:bookmarkStart w:id="28" w:name="EB0c44ff4da61f4af989d119fe214be450"/>
      <w:r>
        <w:rPr>
          <w:rFonts w:hint="eastAsia" w:ascii="仿宋" w:hAnsi="仿宋" w:eastAsia="仿宋" w:cs="仿宋"/>
          <w:color w:val="auto"/>
          <w:sz w:val="24"/>
          <w:szCs w:val="24"/>
          <w:highlight w:val="none"/>
        </w:rPr>
        <w:t xml:space="preserve">3.本项目共</w:t>
      </w:r>
      <w:r>
        <w:rPr>
          <w:rFonts w:hint="eastAsia" w:ascii="仿宋" w:hAnsi="仿宋" w:eastAsia="仿宋" w:cs="仿宋"/>
          <w:color w:val="auto"/>
          <w:sz w:val="24"/>
          <w:szCs w:val="24"/>
          <w:highlight w:val="none"/>
          <w:lang w:eastAsia="zh-CN"/>
        </w:rPr>
        <w:t xml:space="preserve">分十个包</w:t>
      </w:r>
      <w:r>
        <w:rPr>
          <w:rFonts w:hint="eastAsia" w:ascii="仿宋" w:hAnsi="仿宋" w:eastAsia="仿宋" w:cs="仿宋"/>
          <w:color w:val="auto"/>
          <w:sz w:val="24"/>
          <w:szCs w:val="24"/>
          <w:highlight w:val="none"/>
        </w:rPr>
        <w:t xml:space="preserve">。投标人参与多个包投标的，应按包分别获取招标文件。投标人未按要求获取招标文件导致无法投标的，后果自负（其投标文件不予接受）。</w:t>
      </w:r>
      <w:bookmarkEnd w:id="28"/>
      <w:r/>
      <w:r/>
    </w:p>
    <w:p>
      <w:pPr>
        <w:pStyle w:val="924"/>
        <w:ind w:firstLine="482"/>
        <w:pageBreakBefore w:val="0"/>
        <w:spacing w:before="0" w:after="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四、提交投标文件</w:t>
      </w:r>
      <w:bookmarkEnd w:id="23"/>
      <w:r/>
      <w:bookmarkEnd w:id="24"/>
      <w:r>
        <w:rPr>
          <w:rFonts w:hint="eastAsia" w:ascii="仿宋" w:hAnsi="仿宋" w:eastAsia="仿宋" w:cs="仿宋"/>
          <w:color w:val="auto"/>
          <w:sz w:val="24"/>
          <w:szCs w:val="24"/>
          <w:highlight w:val="none"/>
        </w:rPr>
        <w:t xml:space="preserve">截止时间、开标时间和地点</w:t>
      </w:r>
      <w:bookmarkEnd w:id="25"/>
      <w:r/>
      <w:bookmarkEnd w:id="26"/>
      <w:r/>
      <w:bookmarkEnd w:id="27"/>
      <w:r/>
      <w:r/>
    </w:p>
    <w:p>
      <w:pPr>
        <w:ind w:firstLine="482"/>
        <w:pageBreakBefore w:val="0"/>
        <w:spacing w:line="560" w:lineRule="exact"/>
        <w:rPr>
          <w:rFonts w:hint="eastAsia" w:ascii="仿宋" w:hAnsi="仿宋" w:eastAsia="仿宋" w:cs="仿宋"/>
          <w:b/>
          <w:bCs w:val="0"/>
          <w:color w:val="auto"/>
          <w:sz w:val="24"/>
          <w:szCs w:val="24"/>
          <w:highlight w:val="none"/>
          <w:u w:val="single"/>
        </w:rPr>
      </w:pPr>
      <w:r>
        <w:rPr>
          <w:rFonts w:hint="eastAsia" w:ascii="仿宋" w:hAnsi="仿宋" w:eastAsia="仿宋" w:cs="仿宋"/>
          <w:b/>
          <w:bCs w:val="0"/>
          <w:color w:val="auto"/>
          <w:sz w:val="24"/>
          <w:szCs w:val="24"/>
          <w:highlight w:val="none"/>
        </w:rPr>
        <w:t xml:space="preserve">1.提交投标文件截止时间、开标时间：</w:t>
      </w:r>
      <w:r>
        <w:rPr>
          <w:rFonts w:hint="eastAsia" w:ascii="仿宋" w:hAnsi="仿宋" w:eastAsia="仿宋" w:cs="仿宋"/>
          <w:b/>
          <w:bCs/>
          <w:color w:val="auto"/>
          <w:sz w:val="24"/>
          <w:szCs w:val="24"/>
          <w:highlight w:val="none"/>
        </w:rPr>
        <w:t xml:space="preserve">202</w:t>
      </w:r>
      <w:r>
        <w:rPr>
          <w:rFonts w:hint="eastAsia" w:ascii="仿宋" w:hAnsi="仿宋" w:eastAsia="仿宋" w:cs="仿宋"/>
          <w:b/>
          <w:bCs/>
          <w:color w:val="auto"/>
          <w:sz w:val="24"/>
          <w:szCs w:val="24"/>
          <w:highlight w:val="none"/>
          <w:lang w:val="en-US" w:eastAsia="zh-CN"/>
        </w:rPr>
        <w:t xml:space="preserve">5</w:t>
      </w:r>
      <w:r>
        <w:rPr>
          <w:rFonts w:hint="eastAsia" w:ascii="仿宋" w:hAnsi="仿宋" w:eastAsia="仿宋" w:cs="仿宋"/>
          <w:b/>
          <w:bCs/>
          <w:color w:val="auto"/>
          <w:sz w:val="24"/>
          <w:szCs w:val="24"/>
          <w:highlight w:val="none"/>
        </w:rPr>
        <w:t xml:space="preserve">年</w:t>
      </w:r>
      <w:r>
        <w:rPr>
          <w:rFonts w:hint="eastAsia" w:ascii="仿宋" w:hAnsi="仿宋" w:eastAsia="仿宋" w:cs="仿宋"/>
          <w:b/>
          <w:bCs/>
          <w:color w:val="auto"/>
          <w:sz w:val="24"/>
          <w:szCs w:val="24"/>
          <w:highlight w:val="none"/>
          <w:lang w:val="en-US" w:eastAsia="zh-CN"/>
        </w:rPr>
        <w:t xml:space="preserve">12</w:t>
      </w:r>
      <w:r>
        <w:rPr>
          <w:rFonts w:hint="eastAsia" w:ascii="仿宋" w:hAnsi="仿宋" w:eastAsia="仿宋" w:cs="仿宋"/>
          <w:b/>
          <w:bCs/>
          <w:color w:val="auto"/>
          <w:sz w:val="24"/>
          <w:szCs w:val="24"/>
          <w:highlight w:val="none"/>
        </w:rPr>
        <w:t xml:space="preserve">月</w:t>
      </w:r>
      <w:r>
        <w:rPr>
          <w:rFonts w:hint="eastAsia" w:ascii="仿宋" w:hAnsi="仿宋" w:eastAsia="仿宋" w:cs="仿宋"/>
          <w:b/>
          <w:bCs/>
          <w:color w:val="auto"/>
          <w:sz w:val="24"/>
          <w:szCs w:val="24"/>
          <w:highlight w:val="none"/>
          <w:lang w:val="en-US" w:eastAsia="zh-CN"/>
        </w:rPr>
        <w:t xml:space="preserve">29</w:t>
      </w:r>
      <w:r>
        <w:rPr>
          <w:rFonts w:hint="eastAsia" w:ascii="仿宋" w:hAnsi="仿宋" w:eastAsia="仿宋" w:cs="仿宋"/>
          <w:b/>
          <w:bCs/>
          <w:color w:val="auto"/>
          <w:sz w:val="24"/>
          <w:szCs w:val="24"/>
          <w:highlight w:val="none"/>
        </w:rPr>
        <w:t xml:space="preserve">日</w:t>
      </w:r>
      <w:r>
        <w:rPr>
          <w:rFonts w:hint="eastAsia" w:ascii="仿宋" w:hAnsi="仿宋" w:eastAsia="仿宋" w:cs="仿宋"/>
          <w:b/>
          <w:bCs w:val="0"/>
          <w:color w:val="auto"/>
          <w:sz w:val="24"/>
          <w:szCs w:val="24"/>
          <w:highlight w:val="none"/>
          <w:u w:val="none"/>
        </w:rPr>
        <w:t xml:space="preserve">09点00分</w:t>
      </w:r>
      <w:r>
        <w:rPr>
          <w:rFonts w:hint="eastAsia" w:ascii="仿宋" w:hAnsi="仿宋" w:eastAsia="仿宋" w:cs="仿宋"/>
          <w:b/>
          <w:bCs w:val="0"/>
          <w:color w:val="auto"/>
          <w:sz w:val="24"/>
          <w:szCs w:val="24"/>
          <w:highlight w:val="none"/>
        </w:rPr>
        <w:t xml:space="preserve">（北京时间）</w:t>
      </w:r>
      <w:r/>
    </w:p>
    <w:p>
      <w:pPr>
        <w:ind w:firstLine="482"/>
        <w:pageBreakBefore w:val="0"/>
        <w:spacing w:line="560" w:lineRule="exact"/>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2.地点：“苏采云”政府采购交易系统网上开标大厅。</w:t>
      </w:r>
      <w:r/>
    </w:p>
    <w:p>
      <w:pPr>
        <w:pStyle w:val="924"/>
        <w:ind w:firstLine="482"/>
        <w:pageBreakBefore w:val="0"/>
        <w:spacing w:before="0" w:after="0" w:line="560" w:lineRule="exact"/>
        <w:rPr>
          <w:rFonts w:hint="eastAsia" w:ascii="仿宋" w:hAnsi="仿宋" w:eastAsia="仿宋" w:cs="仿宋"/>
          <w:color w:val="auto"/>
          <w:sz w:val="24"/>
          <w:szCs w:val="24"/>
          <w:highlight w:val="none"/>
        </w:rPr>
      </w:pPr>
      <w:r/>
      <w:bookmarkStart w:id="29" w:name="_Toc28359007"/>
      <w:r/>
      <w:bookmarkStart w:id="30" w:name="_Toc35393794"/>
      <w:r/>
      <w:bookmarkStart w:id="31" w:name="_Toc38985267"/>
      <w:r/>
      <w:bookmarkStart w:id="32" w:name="_Toc35393625"/>
      <w:r/>
      <w:bookmarkStart w:id="33" w:name="_Toc28359084"/>
      <w:r>
        <w:rPr>
          <w:rFonts w:hint="eastAsia" w:ascii="仿宋" w:hAnsi="仿宋" w:eastAsia="仿宋" w:cs="仿宋"/>
          <w:color w:val="auto"/>
          <w:sz w:val="24"/>
          <w:szCs w:val="24"/>
          <w:highlight w:val="none"/>
        </w:rPr>
        <w:t xml:space="preserve">五、公告期限</w:t>
      </w:r>
      <w:bookmarkEnd w:id="29"/>
      <w:r/>
      <w:bookmarkEnd w:id="30"/>
      <w:r/>
      <w:bookmarkEnd w:id="31"/>
      <w:r/>
      <w:bookmarkEnd w:id="32"/>
      <w:r/>
      <w:bookmarkEnd w:id="33"/>
      <w:r/>
      <w:r/>
    </w:p>
    <w:p>
      <w:pPr>
        <w:ind w:firstLine="480"/>
        <w:pageBreakBefore w:val="0"/>
        <w:spacing w:line="560" w:lineRule="exact"/>
        <w:rPr>
          <w:rFonts w:hint="eastAsia" w:ascii="仿宋" w:hAnsi="仿宋" w:eastAsia="仿宋" w:cs="仿宋"/>
          <w:color w:val="auto"/>
          <w:sz w:val="24"/>
          <w:szCs w:val="24"/>
          <w:highlight w:val="none"/>
        </w:rPr>
      </w:pPr>
      <w:r/>
      <w:bookmarkStart w:id="34" w:name="_Toc38985268"/>
      <w:r/>
      <w:bookmarkStart w:id="35" w:name="_Toc35393795"/>
      <w:r/>
      <w:bookmarkStart w:id="36" w:name="_Toc35393626"/>
      <w:r>
        <w:rPr>
          <w:rFonts w:hint="eastAsia" w:ascii="仿宋" w:hAnsi="仿宋" w:eastAsia="仿宋" w:cs="仿宋"/>
          <w:color w:val="auto"/>
          <w:sz w:val="24"/>
          <w:szCs w:val="24"/>
          <w:highlight w:val="none"/>
        </w:rPr>
        <w:t xml:space="preserve">招标公告及招标文件公告期限为自本公告发布之日起5个工作日。招标公告发布媒体：宿迁市政府采购网、宿迁市公共资源交易平台、江苏省财政部门指定的媒体。</w:t>
      </w:r>
      <w:r/>
    </w:p>
    <w:p>
      <w:pPr>
        <w:pStyle w:val="924"/>
        <w:ind w:firstLine="482"/>
        <w:pageBreakBefore w:val="0"/>
        <w:spacing w:before="0" w:after="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六、其他补充事宜</w:t>
      </w:r>
      <w:bookmarkEnd w:id="34"/>
      <w:r/>
      <w:bookmarkEnd w:id="35"/>
      <w:r/>
      <w:bookmarkEnd w:id="36"/>
      <w:r/>
      <w:r/>
    </w:p>
    <w:p>
      <w:pPr>
        <w:ind w:firstLine="480"/>
        <w:pageBreakBefore w:val="0"/>
        <w:spacing w:line="560" w:lineRule="exact"/>
        <w:rPr>
          <w:rFonts w:hint="eastAsia" w:ascii="仿宋" w:hAnsi="仿宋" w:eastAsia="仿宋" w:cs="仿宋"/>
          <w:color w:val="auto"/>
          <w:sz w:val="24"/>
          <w:szCs w:val="24"/>
          <w:highlight w:val="none"/>
        </w:rPr>
      </w:pPr>
      <w:r/>
      <w:bookmarkStart w:id="37" w:name="EB64e1f522fd8c43fcb4d3ba471386b3e7"/>
      <w:r/>
      <w:bookmarkStart w:id="38" w:name="_Toc28359008"/>
      <w:r/>
      <w:bookmarkStart w:id="39" w:name="_Toc28359085"/>
      <w:r/>
      <w:bookmarkStart w:id="40" w:name="_Toc35393796"/>
      <w:r/>
      <w:bookmarkStart w:id="41" w:name="_Toc38985269"/>
      <w:r/>
      <w:bookmarkStart w:id="42" w:name="_Toc35393627"/>
      <w:r>
        <w:rPr>
          <w:rFonts w:hint="eastAsia" w:ascii="仿宋" w:hAnsi="仿宋" w:eastAsia="仿宋" w:cs="仿宋"/>
          <w:color w:val="auto"/>
          <w:sz w:val="24"/>
          <w:szCs w:val="24"/>
          <w:highlight w:val="none"/>
        </w:rPr>
        <w:t xml:space="preserve">1.财政部门监督电话：</w:t>
      </w:r>
      <w:r>
        <w:rPr>
          <w:rFonts w:hint="eastAsia" w:ascii="仿宋" w:hAnsi="仿宋" w:eastAsia="仿宋" w:cs="仿宋"/>
          <w:color w:val="auto"/>
          <w:sz w:val="24"/>
          <w:szCs w:val="24"/>
          <w:highlight w:val="none"/>
          <w:lang w:eastAsia="zh-CN"/>
        </w:rPr>
        <w:t xml:space="preserve">0527-84363063</w:t>
      </w:r>
      <w:r>
        <w:rPr>
          <w:rFonts w:hint="eastAsia" w:ascii="仿宋" w:hAnsi="仿宋" w:eastAsia="仿宋" w:cs="仿宋"/>
          <w:color w:val="auto"/>
          <w:sz w:val="24"/>
          <w:szCs w:val="24"/>
          <w:highlight w:val="none"/>
        </w:rPr>
        <w:t xml:space="preserve">。</w:t>
      </w:r>
      <w:r/>
    </w:p>
    <w:p>
      <w:pPr>
        <w:ind w:firstLine="48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pageBreakBefore w:val="0"/>
        <w:spacing w:line="560" w:lineRule="exac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3.宿迁地区“苏采云”技术支持客服电话：0527-84225125、0519-86722806。</w:t>
      </w:r>
      <w:r/>
    </w:p>
    <w:p>
      <w:pPr>
        <w:ind w:firstLine="480"/>
        <w:pageBreakBefore w:val="0"/>
        <w:spacing w:line="560" w:lineRule="exac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4.如果投标人通过苏采云系统参与政府采购项目，相关操作手册详见链接：http://www.ccgp-jiangsu.gov.cn/jiangsu/zlxz/ee/ee3a4bc5a3454aa2b0d9312230633ce9.html。</w:t>
      </w:r>
      <w:bookmarkEnd w:id="37"/>
      <w:r/>
      <w:r/>
    </w:p>
    <w:p>
      <w:pPr>
        <w:ind w:firstLine="48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5.现场勘察及答疑：本项目不组织集中勘察及答疑，投标人如对采购需求有疑问，请咨询采购单位联系人。</w:t>
      </w:r>
      <w:r/>
    </w:p>
    <w:p>
      <w:pPr>
        <w:pStyle w:val="924"/>
        <w:ind w:firstLine="482"/>
        <w:pageBreakBefore w:val="0"/>
        <w:spacing w:before="0" w:after="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七、本次招标联系方式</w:t>
      </w:r>
      <w:bookmarkEnd w:id="38"/>
      <w:r/>
      <w:bookmarkEnd w:id="39"/>
      <w:r/>
      <w:bookmarkEnd w:id="40"/>
      <w:r/>
      <w:bookmarkEnd w:id="41"/>
      <w:r/>
      <w:bookmarkEnd w:id="42"/>
      <w:r/>
      <w:r/>
    </w:p>
    <w:p>
      <w:pPr>
        <w:ind w:firstLine="480"/>
        <w:jc w:val="left"/>
        <w:pageBreakBefore w:val="0"/>
        <w:spacing w:line="5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1.采购人信息</w:t>
      </w:r>
      <w:r/>
    </w:p>
    <w:p>
      <w:pPr>
        <w:ind w:firstLine="480"/>
        <w:jc w:val="left"/>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lang w:eastAsia="zh-CN"/>
        </w:rPr>
        <w:t xml:space="preserve">宿迁市医疗保障局</w:t>
      </w:r>
      <w:r>
        <w:rPr>
          <w:rFonts w:hint="eastAsia" w:ascii="仿宋" w:hAnsi="仿宋" w:eastAsia="仿宋" w:cs="仿宋"/>
          <w:color w:val="auto"/>
          <w:sz w:val="24"/>
          <w:szCs w:val="24"/>
          <w:highlight w:val="none"/>
        </w:rPr>
        <w:t xml:space="preserve">　</w:t>
      </w:r>
      <w:r/>
    </w:p>
    <w:p>
      <w:pPr>
        <w:ind w:firstLine="480"/>
        <w:jc w:val="left"/>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宿迁市洪泽湖路889号便民方舟1号楼</w:t>
      </w:r>
      <w:r>
        <w:rPr>
          <w:rFonts w:hint="eastAsia" w:ascii="仿宋" w:hAnsi="仿宋" w:eastAsia="仿宋" w:cs="仿宋"/>
          <w:color w:val="auto"/>
          <w:sz w:val="24"/>
          <w:szCs w:val="24"/>
          <w:highlight w:val="none"/>
        </w:rPr>
        <w:t xml:space="preserve">　</w:t>
      </w:r>
      <w:r/>
    </w:p>
    <w:p>
      <w:pPr>
        <w:ind w:firstLine="480"/>
        <w:jc w:val="left"/>
        <w:pageBreakBefore w:val="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联系人：</w:t>
      </w:r>
      <w:r>
        <w:rPr>
          <w:rFonts w:hint="eastAsia" w:ascii="仿宋" w:hAnsi="仿宋" w:eastAsia="仿宋" w:cs="仿宋"/>
          <w:color w:val="auto"/>
          <w:sz w:val="24"/>
          <w:szCs w:val="24"/>
          <w:highlight w:val="none"/>
          <w:lang w:val="en-US" w:eastAsia="zh-CN"/>
        </w:rPr>
        <w:t xml:space="preserve">沈峻平</w:t>
      </w:r>
      <w:r/>
    </w:p>
    <w:p>
      <w:pPr>
        <w:ind w:firstLine="480"/>
        <w:jc w:val="left"/>
        <w:pageBreakBefore w:val="0"/>
        <w:spacing w:line="56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eastAsia="zh-CN"/>
        </w:rPr>
        <w:t xml:space="preserve">联系方式：</w:t>
      </w:r>
      <w:bookmarkStart w:id="43" w:name="_Toc28359086"/>
      <w:r/>
      <w:bookmarkStart w:id="44" w:name="_Toc28359009"/>
      <w:r>
        <w:rPr>
          <w:rFonts w:hint="eastAsia" w:ascii="仿宋" w:hAnsi="仿宋" w:eastAsia="仿宋" w:cs="仿宋"/>
          <w:color w:val="auto"/>
          <w:sz w:val="24"/>
          <w:szCs w:val="24"/>
          <w:highlight w:val="none"/>
          <w:lang w:val="en-US" w:eastAsia="zh-CN"/>
        </w:rPr>
        <w:t xml:space="preserve">13805249858</w:t>
      </w:r>
      <w:r/>
    </w:p>
    <w:p>
      <w:pPr>
        <w:ind w:firstLine="480"/>
        <w:jc w:val="left"/>
        <w:pageBreakBefore w:val="0"/>
        <w:spacing w:line="5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bookmarkEnd w:id="43"/>
      <w:r/>
      <w:bookmarkEnd w:id="44"/>
      <w:r>
        <w:rPr>
          <w:rFonts w:hint="eastAsia" w:ascii="仿宋" w:hAnsi="仿宋" w:eastAsia="仿宋" w:cs="仿宋"/>
          <w:color w:val="auto"/>
          <w:sz w:val="24"/>
          <w:szCs w:val="24"/>
          <w:highlight w:val="none"/>
        </w:rPr>
        <w:t xml:space="preserve">采购代理机构信息</w:t>
      </w:r>
      <w:r/>
    </w:p>
    <w:p>
      <w:pPr>
        <w:ind w:firstLine="480"/>
        <w:jc w:val="left"/>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lang w:eastAsia="zh-CN"/>
        </w:rPr>
        <w:t xml:space="preserve">宿迁市宏晟项目管理有限公司</w:t>
      </w:r>
      <w:r>
        <w:rPr>
          <w:rFonts w:hint="eastAsia" w:ascii="仿宋" w:hAnsi="仿宋" w:eastAsia="仿宋" w:cs="仿宋"/>
          <w:color w:val="auto"/>
          <w:sz w:val="24"/>
          <w:szCs w:val="24"/>
          <w:highlight w:val="none"/>
        </w:rPr>
        <w:t xml:space="preserve">　</w:t>
      </w:r>
      <w:r/>
    </w:p>
    <w:p>
      <w:pPr>
        <w:ind w:firstLine="480"/>
        <w:pageBreakBefore w:val="0"/>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lang w:eastAsia="zh-CN"/>
        </w:rPr>
        <w:t xml:space="preserve">宿迁市宿城区霸王举鼎广场浙江大厦（开元颐居酒店旁）11楼1113室</w:t>
      </w:r>
      <w:r/>
    </w:p>
    <w:p>
      <w:pPr>
        <w:ind w:firstLine="48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lang w:eastAsia="zh-CN"/>
        </w:rPr>
        <w:t xml:space="preserve">管永硕</w:t>
      </w:r>
      <w:r>
        <w:rPr>
          <w:rFonts w:hint="eastAsia" w:ascii="仿宋" w:hAnsi="仿宋" w:eastAsia="仿宋" w:cs="仿宋"/>
          <w:color w:val="auto"/>
          <w:sz w:val="24"/>
          <w:szCs w:val="24"/>
          <w:highlight w:val="none"/>
        </w:rPr>
        <w:t xml:space="preserve"> </w:t>
      </w:r>
      <w:r/>
    </w:p>
    <w:p>
      <w:pPr>
        <w:ind w:firstLine="480"/>
        <w:pageBreakBefore w:val="0"/>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联系方式：</w:t>
      </w:r>
      <w:bookmarkStart w:id="45" w:name="_Toc28359087"/>
      <w:r/>
      <w:bookmarkStart w:id="46" w:name="_Toc28359010"/>
      <w:r>
        <w:rPr>
          <w:rFonts w:hint="eastAsia" w:ascii="仿宋" w:hAnsi="仿宋" w:eastAsia="仿宋" w:cs="仿宋"/>
          <w:color w:val="auto"/>
          <w:sz w:val="24"/>
          <w:szCs w:val="24"/>
          <w:highlight w:val="none"/>
          <w:lang w:val="en-US" w:eastAsia="zh-CN"/>
        </w:rPr>
        <w:t xml:space="preserve">0527-88818669/</w:t>
      </w:r>
      <w:bookmarkEnd w:id="45"/>
      <w:r/>
      <w:bookmarkEnd w:id="46"/>
      <w:r>
        <w:rPr>
          <w:rFonts w:hint="eastAsia" w:ascii="仿宋" w:hAnsi="仿宋" w:eastAsia="仿宋" w:cs="仿宋"/>
          <w:color w:val="auto"/>
          <w:sz w:val="24"/>
          <w:szCs w:val="24"/>
          <w:highlight w:val="none"/>
          <w:lang w:eastAsia="zh-CN"/>
        </w:rPr>
        <w:t xml:space="preserve">18951361116</w:t>
      </w:r>
      <w:r/>
    </w:p>
    <w:p>
      <w:pPr>
        <w:pStyle w:val="924"/>
        <w:ind w:firstLine="482"/>
        <w:pageBreakBefore w:val="0"/>
        <w:spacing w:before="0" w:after="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八、其他</w:t>
      </w:r>
      <w:r/>
    </w:p>
    <w:p>
      <w:pPr>
        <w:ind w:firstLine="480"/>
        <w:jc w:val="left"/>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1、有关本次招标的事项若存在变动或修改，敬请及时关注“宿迁市政府采购网”等平台更正公告。</w:t>
      </w:r>
      <w:r/>
    </w:p>
    <w:p>
      <w:pPr>
        <w:ind w:firstLine="480"/>
        <w:jc w:val="left"/>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2、本次招标不收取投标保证金。</w:t>
      </w:r>
      <w:r/>
    </w:p>
    <w:p>
      <w:pPr>
        <w:ind w:left="0" w:firstLine="480"/>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2"/>
        <w:ind w:left="0" w:firstLine="0"/>
        <w:jc w:val="center"/>
        <w:keepLines/>
        <w:keepNext/>
        <w:pageBreakBefore w:val="0"/>
        <w:spacing w:before="0" w:after="0" w:line="480" w:lineRule="auto"/>
        <w:widowControl w:val="off"/>
        <w:rPr>
          <w:rFonts w:hint="eastAsia" w:ascii="仿宋" w:hAnsi="仿宋" w:eastAsia="仿宋" w:cs="仿宋"/>
          <w:b w:val="0"/>
          <w:bCs w:val="0"/>
          <w:color w:val="auto"/>
          <w:highlight w:val="none"/>
        </w:rPr>
        <w:outlineLvl w:val="0"/>
      </w:pPr>
      <w:r/>
      <w:bookmarkStart w:id="47" w:name="_Toc120614211"/>
      <w:r>
        <w:rPr>
          <w:rFonts w:hint="eastAsia" w:ascii="仿宋" w:hAnsi="仿宋" w:eastAsia="仿宋" w:cs="仿宋"/>
          <w:color w:val="auto"/>
          <w:highlight w:val="none"/>
        </w:rPr>
        <w:br w:type="page" w:clear="all"/>
      </w:r>
      <w:bookmarkStart w:id="48" w:name="_Toc14806"/>
      <w:r>
        <w:rPr>
          <w:rStyle w:val="765"/>
          <w:rFonts w:hint="eastAsia" w:ascii="仿宋" w:hAnsi="仿宋" w:eastAsia="仿宋" w:cs="仿宋"/>
          <w:color w:val="auto"/>
          <w:highlight w:val="none"/>
        </w:rPr>
        <w:t xml:space="preserve">第二章</w:t>
      </w:r>
      <w:bookmarkEnd w:id="1"/>
      <w:r/>
      <w:bookmarkEnd w:id="2"/>
      <w:r/>
      <w:bookmarkEnd w:id="3"/>
      <w:r/>
      <w:bookmarkEnd w:id="4"/>
      <w:r/>
      <w:bookmarkEnd w:id="5"/>
      <w:r/>
      <w:bookmarkEnd w:id="47"/>
      <w:r/>
      <w:bookmarkStart w:id="49" w:name="_Toc16938518"/>
      <w:r/>
      <w:bookmarkStart w:id="50" w:name="_Toc120614213"/>
      <w:r/>
      <w:bookmarkStart w:id="51" w:name="_Toc20823274"/>
      <w:r/>
      <w:bookmarkStart w:id="52" w:name="_Toc513029202"/>
      <w:r>
        <w:rPr>
          <w:rStyle w:val="765"/>
          <w:rFonts w:hint="eastAsia" w:ascii="仿宋" w:hAnsi="仿宋" w:eastAsia="仿宋" w:cs="仿宋"/>
          <w:b/>
          <w:bCs/>
          <w:color w:val="auto"/>
          <w:highlight w:val="none"/>
        </w:rPr>
        <w:t xml:space="preserve">   </w:t>
      </w:r>
      <w:r>
        <w:rPr>
          <w:rStyle w:val="765"/>
          <w:rFonts w:hint="eastAsia" w:ascii="仿宋" w:hAnsi="仿宋" w:eastAsia="仿宋" w:cs="仿宋"/>
          <w:color w:val="auto"/>
          <w:highlight w:val="none"/>
        </w:rPr>
        <w:t xml:space="preserve">投标人须知</w:t>
      </w:r>
      <w:bookmarkEnd w:id="48"/>
      <w:r/>
      <w:bookmarkEnd w:id="49"/>
      <w:r/>
      <w:bookmarkEnd w:id="50"/>
      <w:r/>
      <w:bookmarkEnd w:id="51"/>
      <w:r/>
      <w:bookmarkEnd w:id="52"/>
      <w:r/>
      <w:r/>
    </w:p>
    <w:p>
      <w:pPr>
        <w:pStyle w:val="924"/>
        <w:ind w:firstLine="482"/>
        <w:pageBreakBefore w:val="0"/>
        <w:spacing w:before="0" w:after="0" w:line="560" w:lineRule="exact"/>
        <w:widowControl w:val="off"/>
        <w:rPr>
          <w:rFonts w:hint="eastAsia" w:ascii="仿宋" w:hAnsi="仿宋" w:eastAsia="仿宋" w:cs="仿宋"/>
          <w:color w:val="auto"/>
          <w:sz w:val="24"/>
          <w:szCs w:val="24"/>
          <w:highlight w:val="none"/>
        </w:rPr>
      </w:pPr>
      <w:r/>
      <w:bookmarkStart w:id="53" w:name="_Toc20823275"/>
      <w:r/>
      <w:bookmarkStart w:id="54" w:name="_Toc120614214"/>
      <w:r/>
      <w:bookmarkStart w:id="55" w:name="_Toc16938519"/>
      <w:r/>
      <w:bookmarkStart w:id="56" w:name="_Toc513029203"/>
      <w:r>
        <w:rPr>
          <w:rFonts w:hint="eastAsia" w:ascii="仿宋" w:hAnsi="仿宋" w:eastAsia="仿宋" w:cs="仿宋"/>
          <w:color w:val="auto"/>
          <w:sz w:val="24"/>
          <w:szCs w:val="24"/>
          <w:highlight w:val="none"/>
        </w:rPr>
        <w:t xml:space="preserve">一、总则</w:t>
      </w:r>
      <w:bookmarkEnd w:id="53"/>
      <w:r/>
      <w:bookmarkEnd w:id="54"/>
      <w:r/>
      <w:bookmarkEnd w:id="55"/>
      <w:r/>
      <w:bookmarkEnd w:id="56"/>
      <w:r/>
      <w:r/>
    </w:p>
    <w:p>
      <w:pPr>
        <w:pStyle w:val="928"/>
        <w:ind w:firstLine="480"/>
        <w:pageBreakBefore w:val="0"/>
        <w:spacing w:before="0" w:after="0" w:line="560" w:lineRule="exact"/>
        <w:widowControl w:val="off"/>
        <w:rPr>
          <w:rFonts w:hint="eastAsia" w:ascii="仿宋" w:hAnsi="仿宋" w:eastAsia="仿宋" w:cs="仿宋"/>
          <w:b/>
          <w:bCs/>
          <w:color w:val="auto"/>
          <w:sz w:val="24"/>
          <w:szCs w:val="24"/>
          <w:highlight w:val="none"/>
        </w:rPr>
      </w:pPr>
      <w:r/>
      <w:bookmarkStart w:id="57" w:name="_Hlt16619475"/>
      <w:r/>
      <w:bookmarkEnd w:id="57"/>
      <w:r/>
      <w:bookmarkStart w:id="58" w:name="_Toc458694821"/>
      <w:r/>
      <w:bookmarkStart w:id="59" w:name="_Toc513029204"/>
      <w:r/>
      <w:bookmarkStart w:id="60" w:name="_Toc16938520"/>
      <w:r/>
      <w:bookmarkStart w:id="61" w:name="_Toc20823276"/>
      <w:r>
        <w:rPr>
          <w:rFonts w:hint="eastAsia" w:ascii="仿宋" w:hAnsi="仿宋" w:eastAsia="仿宋" w:cs="仿宋"/>
          <w:b/>
          <w:bCs/>
          <w:color w:val="auto"/>
          <w:sz w:val="24"/>
          <w:szCs w:val="24"/>
          <w:highlight w:val="none"/>
        </w:rPr>
        <w:t xml:space="preserve">1</w:t>
      </w:r>
      <w:bookmarkEnd w:id="58"/>
      <w:r>
        <w:rPr>
          <w:rFonts w:hint="eastAsia" w:ascii="仿宋" w:hAnsi="仿宋" w:eastAsia="仿宋" w:cs="仿宋"/>
          <w:b/>
          <w:bCs/>
          <w:color w:val="auto"/>
          <w:sz w:val="24"/>
          <w:szCs w:val="24"/>
          <w:highlight w:val="none"/>
        </w:rPr>
        <w:t xml:space="preserve">、招标方式</w:t>
      </w:r>
      <w:bookmarkEnd w:id="59"/>
      <w:r/>
      <w:bookmarkEnd w:id="60"/>
      <w:r/>
      <w:bookmarkEnd w:id="61"/>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本次招标采取公开招标方式，本招标文件仅适用于招标公告中所述项目。</w:t>
      </w:r>
      <w:r/>
    </w:p>
    <w:p>
      <w:pPr>
        <w:pStyle w:val="928"/>
        <w:ind w:firstLine="480"/>
        <w:pageBreakBefore w:val="0"/>
        <w:spacing w:before="0" w:after="0" w:line="560" w:lineRule="exact"/>
        <w:widowControl w:val="off"/>
        <w:rPr>
          <w:rFonts w:hint="eastAsia" w:ascii="仿宋" w:hAnsi="仿宋" w:eastAsia="仿宋" w:cs="仿宋"/>
          <w:b/>
          <w:bCs/>
          <w:color w:val="auto"/>
          <w:sz w:val="24"/>
          <w:szCs w:val="24"/>
          <w:highlight w:val="none"/>
        </w:rPr>
      </w:pPr>
      <w:r/>
      <w:bookmarkStart w:id="62" w:name="_Toc513029205"/>
      <w:r/>
      <w:bookmarkStart w:id="63" w:name="_Toc20823277"/>
      <w:r/>
      <w:bookmarkStart w:id="64" w:name="_Toc16938521"/>
      <w:r>
        <w:rPr>
          <w:rFonts w:hint="eastAsia" w:ascii="仿宋" w:hAnsi="仿宋" w:eastAsia="仿宋" w:cs="仿宋"/>
          <w:b/>
          <w:bCs/>
          <w:color w:val="auto"/>
          <w:sz w:val="24"/>
          <w:szCs w:val="24"/>
          <w:highlight w:val="none"/>
        </w:rPr>
        <w:t xml:space="preserve">2、合格的投标人</w:t>
      </w:r>
      <w:bookmarkEnd w:id="62"/>
      <w:r/>
      <w:bookmarkEnd w:id="63"/>
      <w:r/>
      <w:bookmarkEnd w:id="64"/>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满足招标公告中投标人的资格要求的规定。</w:t>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满足本文件实质性要求和条件的规定。</w:t>
      </w:r>
      <w:r/>
    </w:p>
    <w:p>
      <w:pPr>
        <w:pStyle w:val="928"/>
        <w:ind w:firstLine="480"/>
        <w:pageBreakBefore w:val="0"/>
        <w:spacing w:before="0" w:after="0" w:line="560" w:lineRule="exact"/>
        <w:widowControl w:val="off"/>
        <w:rPr>
          <w:rFonts w:hint="eastAsia" w:ascii="仿宋" w:hAnsi="仿宋" w:eastAsia="仿宋" w:cs="仿宋"/>
          <w:b/>
          <w:bCs/>
          <w:color w:val="auto"/>
          <w:sz w:val="24"/>
          <w:szCs w:val="24"/>
          <w:highlight w:val="none"/>
        </w:rPr>
      </w:pPr>
      <w:r/>
      <w:bookmarkStart w:id="65" w:name="_Toc20823278"/>
      <w:r/>
      <w:bookmarkStart w:id="66" w:name="_Toc16938522"/>
      <w:r/>
      <w:bookmarkStart w:id="67" w:name="_Toc513029206"/>
      <w:r>
        <w:rPr>
          <w:rFonts w:hint="eastAsia" w:ascii="仿宋" w:hAnsi="仿宋" w:eastAsia="仿宋" w:cs="仿宋"/>
          <w:b/>
          <w:bCs/>
          <w:color w:val="auto"/>
          <w:sz w:val="24"/>
          <w:szCs w:val="24"/>
          <w:highlight w:val="none"/>
        </w:rPr>
        <w:t xml:space="preserve">3、适用法律</w:t>
      </w:r>
      <w:bookmarkEnd w:id="65"/>
      <w:r/>
      <w:bookmarkEnd w:id="66"/>
      <w:r/>
      <w:bookmarkEnd w:id="67"/>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本次招标及由此产生的合同受中华人民共和国有关的法律法规制约和保护。</w:t>
      </w:r>
      <w:r/>
    </w:p>
    <w:p>
      <w:pPr>
        <w:pStyle w:val="928"/>
        <w:ind w:left="0" w:firstLine="480"/>
        <w:pageBreakBefore w:val="0"/>
        <w:spacing w:before="0" w:after="0" w:line="560" w:lineRule="exact"/>
        <w:widowControl w:val="off"/>
        <w:rPr>
          <w:rFonts w:hint="eastAsia" w:ascii="仿宋" w:hAnsi="仿宋" w:eastAsia="仿宋" w:cs="仿宋"/>
          <w:b/>
          <w:bCs/>
          <w:color w:val="auto"/>
          <w:sz w:val="24"/>
          <w:szCs w:val="24"/>
          <w:highlight w:val="none"/>
        </w:rPr>
      </w:pPr>
      <w:r/>
      <w:bookmarkStart w:id="68" w:name="_Toc16938523"/>
      <w:r/>
      <w:bookmarkStart w:id="69" w:name="_Toc20823279"/>
      <w:r/>
      <w:bookmarkStart w:id="70" w:name="_Toc462564067"/>
      <w:r/>
      <w:bookmarkStart w:id="71" w:name="_Toc513029207"/>
      <w:r>
        <w:rPr>
          <w:rFonts w:hint="eastAsia" w:ascii="仿宋" w:hAnsi="仿宋" w:eastAsia="仿宋" w:cs="仿宋"/>
          <w:b/>
          <w:bCs/>
          <w:color w:val="auto"/>
          <w:sz w:val="24"/>
          <w:szCs w:val="24"/>
          <w:highlight w:val="none"/>
        </w:rPr>
        <w:t xml:space="preserve">4、投标费用</w:t>
      </w:r>
      <w:bookmarkEnd w:id="68"/>
      <w:r/>
      <w:bookmarkEnd w:id="69"/>
      <w:r/>
      <w:bookmarkEnd w:id="70"/>
      <w:r/>
      <w:bookmarkEnd w:id="71"/>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投标人应自行承担所有与参加投标有关的费用，无论投标过程中的做法和结果如何，</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宿迁市宏晟项目管理有限公司</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（以下简称采购代理机构）在任何情况下均无义务和责任承担这些费用。</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 代理费用收取方式及标准：按以下第</w:t>
      </w:r>
      <w:r>
        <w:rPr>
          <w:rFonts w:hint="eastAsia" w:ascii="仿宋" w:hAnsi="仿宋" w:eastAsia="仿宋" w:cs="仿宋"/>
          <w:color w:val="auto"/>
          <w:sz w:val="24"/>
          <w:szCs w:val="24"/>
          <w:highlight w:val="none"/>
          <w:u w:val="single"/>
        </w:rPr>
        <w:t xml:space="preserve">4.2.</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rPr>
        <w:t xml:space="preserve">种方式执行</w:t>
      </w:r>
      <w:r/>
    </w:p>
    <w:p>
      <w:pPr>
        <w:ind w:left="0" w:firstLine="480"/>
        <w:pageBreakBefore w:val="0"/>
        <w:spacing w:line="56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4.2.1 无需支付；</w:t>
      </w:r>
      <w:r/>
    </w:p>
    <w:p>
      <w:pPr>
        <w:pStyle w:val="984"/>
        <w:ind w:left="0" w:firstLine="480"/>
        <w:pageBreakBefore w:val="0"/>
        <w:widowControl w:val="off"/>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lang w:val="zh-CN"/>
        </w:rPr>
        <w:t xml:space="preserve">4.2.2 采购人支付，具体方式及标准为：</w:t>
      </w:r>
      <w:r>
        <w:rPr>
          <w:rFonts w:hint="eastAsia" w:ascii="仿宋" w:hAnsi="仿宋" w:eastAsia="仿宋" w:cs="仿宋"/>
          <w:color w:val="auto"/>
          <w:sz w:val="24"/>
          <w:szCs w:val="24"/>
          <w:highlight w:val="none"/>
          <w:u w:val="single"/>
          <w:lang w:val="en-US" w:eastAsia="zh-CN"/>
        </w:rPr>
        <w:t xml:space="preserve">   /   </w:t>
      </w:r>
      <w:r>
        <w:rPr>
          <w:rFonts w:hint="eastAsia" w:ascii="仿宋" w:hAnsi="仿宋" w:eastAsia="仿宋" w:cs="仿宋"/>
          <w:color w:val="auto"/>
          <w:sz w:val="24"/>
          <w:szCs w:val="24"/>
          <w:highlight w:val="none"/>
          <w:lang w:val="en-US" w:eastAsia="zh-CN"/>
        </w:rPr>
        <w:t xml:space="preserve">；</w:t>
      </w:r>
      <w:r/>
    </w:p>
    <w:p>
      <w:pPr>
        <w:pStyle w:val="984"/>
        <w:ind w:left="0" w:firstLine="480"/>
        <w:pageBreakBefore w:val="0"/>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zh-CN" w:eastAsia="zh-CN" w:bidi="ar-SA"/>
        </w:rPr>
        <w:t xml:space="preserve">4.2.</w:t>
      </w: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lang w:val="zh-CN" w:eastAsia="zh-CN" w:bidi="ar-SA"/>
        </w:rPr>
        <w:t xml:space="preserve"> </w:t>
      </w:r>
      <w:r>
        <w:rPr>
          <w:rFonts w:hint="eastAsia" w:ascii="仿宋" w:hAnsi="仿宋" w:eastAsia="仿宋" w:cs="仿宋"/>
          <w:color w:val="auto"/>
          <w:sz w:val="24"/>
          <w:szCs w:val="24"/>
          <w:highlight w:val="none"/>
          <w:lang w:val="en-US" w:eastAsia="zh-CN" w:bidi="ar-SA"/>
        </w:rPr>
        <w:t xml:space="preserve">中标</w:t>
      </w:r>
      <w:r>
        <w:rPr>
          <w:rFonts w:hint="eastAsia" w:ascii="仿宋" w:hAnsi="仿宋" w:eastAsia="仿宋" w:cs="仿宋"/>
          <w:color w:val="auto"/>
          <w:sz w:val="24"/>
          <w:szCs w:val="24"/>
          <w:highlight w:val="none"/>
          <w:lang w:val="zh-CN" w:eastAsia="zh-CN" w:bidi="ar-SA"/>
        </w:rPr>
        <w:t xml:space="preserve">人支付，具体方式及标准为：</w:t>
      </w:r>
      <w:r>
        <w:rPr>
          <w:rFonts w:hint="eastAsia" w:ascii="仿宋" w:hAnsi="仿宋" w:eastAsia="仿宋" w:cs="仿宋"/>
          <w:color w:val="auto"/>
          <w:sz w:val="24"/>
          <w:szCs w:val="24"/>
          <w:highlight w:val="none"/>
          <w:lang w:val="en-US" w:eastAsia="zh-CN" w:bidi="ar-SA"/>
        </w:rPr>
        <w:t xml:space="preserve">按《江苏省招标代理服务收费的指导意见》苏招协[2022]002号文收费标准计算收取代理费，支付方式可以通过转账或数字人民币等方式。</w:t>
      </w:r>
      <w:r/>
    </w:p>
    <w:p>
      <w:pPr>
        <w:pStyle w:val="928"/>
        <w:ind w:left="0" w:firstLine="480"/>
        <w:pageBreakBefore w:val="0"/>
        <w:spacing w:before="0" w:after="0" w:line="56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5、招标文件的约束力</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5.1</w:t>
      </w:r>
      <w:r>
        <w:rPr>
          <w:rFonts w:hint="eastAsia" w:ascii="仿宋" w:hAnsi="仿宋" w:eastAsia="仿宋" w:cs="仿宋"/>
          <w:color w:val="auto"/>
          <w:sz w:val="24"/>
          <w:szCs w:val="24"/>
          <w:highlight w:val="none"/>
        </w:rPr>
        <w:t xml:space="preserve">投标人一旦参加本项目采购活动，即被认为接受了本招标文件的规定和约束。</w:t>
      </w:r>
      <w:r/>
    </w:p>
    <w:p>
      <w:pPr>
        <w:pStyle w:val="924"/>
        <w:ind w:left="0" w:firstLine="482"/>
        <w:pageBreakBefore w:val="0"/>
        <w:spacing w:before="0" w:after="0" w:line="560" w:lineRule="exact"/>
        <w:widowControl w:val="off"/>
        <w:rPr>
          <w:rFonts w:hint="eastAsia" w:ascii="仿宋" w:hAnsi="仿宋" w:eastAsia="仿宋" w:cs="仿宋"/>
          <w:color w:val="auto"/>
          <w:sz w:val="24"/>
          <w:szCs w:val="24"/>
          <w:highlight w:val="none"/>
        </w:rPr>
      </w:pPr>
      <w:r/>
      <w:bookmarkStart w:id="72" w:name="_Toc513029209"/>
      <w:r/>
      <w:bookmarkStart w:id="73" w:name="_Toc20823281"/>
      <w:r/>
      <w:bookmarkStart w:id="74" w:name="_Toc120614215"/>
      <w:r/>
      <w:bookmarkStart w:id="75" w:name="_Toc16938525"/>
      <w:r>
        <w:rPr>
          <w:rFonts w:hint="eastAsia" w:ascii="仿宋" w:hAnsi="仿宋" w:eastAsia="仿宋" w:cs="仿宋"/>
          <w:color w:val="auto"/>
          <w:sz w:val="24"/>
          <w:szCs w:val="24"/>
          <w:highlight w:val="none"/>
        </w:rPr>
        <w:t xml:space="preserve">二、招标文件</w:t>
      </w:r>
      <w:bookmarkEnd w:id="72"/>
      <w:r/>
      <w:bookmarkEnd w:id="73"/>
      <w:r/>
      <w:bookmarkEnd w:id="74"/>
      <w:r/>
      <w:bookmarkEnd w:id="75"/>
      <w:r/>
      <w:r/>
    </w:p>
    <w:p>
      <w:pPr>
        <w:pStyle w:val="928"/>
        <w:ind w:left="0" w:firstLine="480"/>
        <w:pageBreakBefore w:val="0"/>
        <w:spacing w:before="0" w:after="0" w:line="560" w:lineRule="exact"/>
        <w:widowControl w:val="off"/>
        <w:rPr>
          <w:rFonts w:hint="eastAsia" w:ascii="仿宋" w:hAnsi="仿宋" w:eastAsia="仿宋" w:cs="仿宋"/>
          <w:b/>
          <w:bCs/>
          <w:color w:val="auto"/>
          <w:sz w:val="24"/>
          <w:szCs w:val="24"/>
          <w:highlight w:val="none"/>
        </w:rPr>
      </w:pPr>
      <w:r/>
      <w:bookmarkStart w:id="76" w:name="_Toc16938526"/>
      <w:r/>
      <w:bookmarkStart w:id="77" w:name="_Toc20823282"/>
      <w:r/>
      <w:bookmarkStart w:id="78" w:name="_Toc513029210"/>
      <w:r>
        <w:rPr>
          <w:rFonts w:hint="eastAsia" w:ascii="仿宋" w:hAnsi="仿宋" w:eastAsia="仿宋" w:cs="仿宋"/>
          <w:b/>
          <w:bCs/>
          <w:color w:val="auto"/>
          <w:sz w:val="24"/>
          <w:szCs w:val="24"/>
          <w:highlight w:val="none"/>
        </w:rPr>
        <w:t xml:space="preserve">6、招标文件构成</w:t>
      </w:r>
      <w:bookmarkEnd w:id="76"/>
      <w:r/>
      <w:bookmarkEnd w:id="77"/>
      <w:r/>
      <w:bookmarkEnd w:id="78"/>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6.1</w:t>
      </w:r>
      <w:r>
        <w:rPr>
          <w:rFonts w:hint="eastAsia" w:ascii="仿宋" w:hAnsi="仿宋" w:eastAsia="仿宋" w:cs="仿宋"/>
          <w:color w:val="auto"/>
          <w:sz w:val="24"/>
          <w:szCs w:val="24"/>
          <w:highlight w:val="none"/>
        </w:rPr>
        <w:t xml:space="preserve"> 招标文件由以下部分组成：</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（1）投标邀请</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（2）投标人须知</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（3）合同文本</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（4）采购需求</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（5）评标方法与评标标准</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（6）投标文件格式</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请仔细检查招标文件是否齐全，如有缺漏请立即与采购代理机构联系解决。</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6.2</w:t>
      </w:r>
      <w:r>
        <w:rPr>
          <w:rFonts w:hint="eastAsia" w:ascii="仿宋" w:hAnsi="仿宋" w:eastAsia="仿宋" w:cs="仿宋"/>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8"/>
        <w:ind w:left="0" w:firstLine="480"/>
        <w:pageBreakBefore w:val="0"/>
        <w:spacing w:before="0" w:after="0" w:line="560" w:lineRule="exact"/>
        <w:widowControl w:val="off"/>
        <w:rPr>
          <w:rFonts w:hint="eastAsia" w:ascii="仿宋" w:hAnsi="仿宋" w:eastAsia="仿宋" w:cs="仿宋"/>
          <w:b/>
          <w:bCs/>
          <w:color w:val="auto"/>
          <w:sz w:val="24"/>
          <w:szCs w:val="24"/>
          <w:highlight w:val="none"/>
        </w:rPr>
      </w:pPr>
      <w:r/>
      <w:bookmarkStart w:id="79" w:name="_Toc462564070"/>
      <w:r/>
      <w:bookmarkStart w:id="80" w:name="_Toc513029211"/>
      <w:r/>
      <w:bookmarkStart w:id="81" w:name="_Toc20823283"/>
      <w:r/>
      <w:bookmarkStart w:id="82" w:name="_Toc16938527"/>
      <w:r>
        <w:rPr>
          <w:rFonts w:hint="eastAsia" w:ascii="仿宋" w:hAnsi="仿宋" w:eastAsia="仿宋" w:cs="仿宋"/>
          <w:b/>
          <w:bCs/>
          <w:color w:val="auto"/>
          <w:sz w:val="24"/>
          <w:szCs w:val="24"/>
          <w:highlight w:val="none"/>
        </w:rPr>
        <w:t xml:space="preserve">7、招标文件的澄清</w:t>
      </w:r>
      <w:bookmarkEnd w:id="79"/>
      <w:r/>
      <w:bookmarkEnd w:id="80"/>
      <w:r/>
      <w:bookmarkEnd w:id="81"/>
      <w:r/>
      <w:bookmarkEnd w:id="82"/>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7.1</w:t>
      </w:r>
      <w:r>
        <w:rPr>
          <w:rFonts w:hint="eastAsia" w:ascii="仿宋" w:hAnsi="仿宋" w:eastAsia="仿宋" w:cs="仿宋"/>
          <w:color w:val="auto"/>
          <w:sz w:val="24"/>
          <w:szCs w:val="24"/>
          <w:highlight w:val="none"/>
        </w:rPr>
        <w:t xml:space="preserve"> 任何要求对招标文件进行澄清的投标人，应在投标截止期</w:t>
      </w:r>
      <w:r>
        <w:rPr>
          <w:rFonts w:hint="eastAsia" w:ascii="仿宋" w:hAnsi="仿宋" w:eastAsia="仿宋" w:cs="仿宋"/>
          <w:b/>
          <w:color w:val="auto"/>
          <w:sz w:val="24"/>
          <w:szCs w:val="24"/>
          <w:highlight w:val="none"/>
        </w:rPr>
        <w:t xml:space="preserve">十日</w:t>
      </w:r>
      <w:r>
        <w:rPr>
          <w:rFonts w:hint="eastAsia" w:ascii="仿宋" w:hAnsi="仿宋" w:eastAsia="仿宋" w:cs="仿宋"/>
          <w:color w:val="auto"/>
          <w:sz w:val="24"/>
          <w:szCs w:val="24"/>
          <w:highlight w:val="none"/>
        </w:rPr>
        <w:t xml:space="preserve">前按招标公告中的通讯地址，以书面形式通知采购代理机构。</w:t>
      </w:r>
      <w:r/>
    </w:p>
    <w:p>
      <w:pPr>
        <w:pStyle w:val="928"/>
        <w:ind w:left="0" w:firstLine="480"/>
        <w:pageBreakBefore w:val="0"/>
        <w:spacing w:before="0" w:after="0" w:line="560" w:lineRule="exact"/>
        <w:widowControl w:val="off"/>
        <w:rPr>
          <w:rFonts w:hint="eastAsia" w:ascii="仿宋" w:hAnsi="仿宋" w:eastAsia="仿宋" w:cs="仿宋"/>
          <w:b/>
          <w:bCs/>
          <w:color w:val="auto"/>
          <w:sz w:val="24"/>
          <w:szCs w:val="24"/>
          <w:highlight w:val="none"/>
        </w:rPr>
      </w:pPr>
      <w:r/>
      <w:bookmarkStart w:id="83" w:name="_Toc20823284"/>
      <w:r/>
      <w:bookmarkStart w:id="84" w:name="_Toc16938528"/>
      <w:r/>
      <w:bookmarkStart w:id="85" w:name="_Toc513029212"/>
      <w:r/>
      <w:bookmarkStart w:id="86" w:name="_Toc462564071"/>
      <w:r>
        <w:rPr>
          <w:rFonts w:hint="eastAsia" w:ascii="仿宋" w:hAnsi="仿宋" w:eastAsia="仿宋" w:cs="仿宋"/>
          <w:b/>
          <w:bCs/>
          <w:color w:val="auto"/>
          <w:sz w:val="24"/>
          <w:szCs w:val="24"/>
          <w:highlight w:val="none"/>
        </w:rPr>
        <w:t xml:space="preserve">8、招标文件的修改</w:t>
      </w:r>
      <w:bookmarkEnd w:id="83"/>
      <w:r/>
      <w:bookmarkEnd w:id="84"/>
      <w:r/>
      <w:bookmarkEnd w:id="85"/>
      <w:r/>
      <w:bookmarkEnd w:id="86"/>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8.1 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8.2 在投标截止时间前，采购代理机构可以对招标文件进行修改。</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8.3 采购代理机构有权按照法定的要求推迟投标截止日期和开标日期。</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8.4 招标文件的修改将在原公告媒体上发布更正公告，补充文件将作为招标文件的组成部分，并对投标人具有约束力。</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8.5 投标人应及时登录“苏采云”系统获取澄清答疑文件（修改后招标文件），如因投标人原因未能及时下载澄清和修改后的招标文件，由此造成的相关责任，由投标人承担。</w:t>
      </w:r>
      <w:r/>
    </w:p>
    <w:p>
      <w:pPr>
        <w:pStyle w:val="924"/>
        <w:ind w:left="0" w:firstLine="482"/>
        <w:pageBreakBefore w:val="0"/>
        <w:spacing w:before="0" w:after="0" w:line="560" w:lineRule="exact"/>
        <w:widowControl w:val="off"/>
        <w:rPr>
          <w:rFonts w:hint="eastAsia" w:ascii="仿宋" w:hAnsi="仿宋" w:eastAsia="仿宋" w:cs="仿宋"/>
          <w:color w:val="auto"/>
          <w:sz w:val="24"/>
          <w:szCs w:val="24"/>
          <w:highlight w:val="none"/>
        </w:rPr>
      </w:pPr>
      <w:r/>
      <w:bookmarkStart w:id="87" w:name="_Toc513029213"/>
      <w:r/>
      <w:bookmarkStart w:id="88" w:name="_Toc20823285"/>
      <w:r/>
      <w:bookmarkStart w:id="89" w:name="_Toc120614216"/>
      <w:r/>
      <w:bookmarkStart w:id="90" w:name="_Toc16938529"/>
      <w:r/>
      <w:bookmarkStart w:id="91" w:name="_Toc462564072"/>
      <w:r>
        <w:rPr>
          <w:rFonts w:hint="eastAsia" w:ascii="仿宋" w:hAnsi="仿宋" w:eastAsia="仿宋" w:cs="仿宋"/>
          <w:color w:val="auto"/>
          <w:sz w:val="24"/>
          <w:szCs w:val="24"/>
          <w:highlight w:val="none"/>
        </w:rPr>
        <w:t xml:space="preserve">三、投标文件的编制</w:t>
      </w:r>
      <w:bookmarkEnd w:id="87"/>
      <w:r/>
      <w:bookmarkEnd w:id="88"/>
      <w:r/>
      <w:bookmarkEnd w:id="89"/>
      <w:r/>
      <w:bookmarkEnd w:id="90"/>
      <w:r/>
      <w:bookmarkEnd w:id="91"/>
      <w:r/>
      <w:r/>
    </w:p>
    <w:p>
      <w:pPr>
        <w:pStyle w:val="928"/>
        <w:ind w:left="0" w:firstLine="480"/>
        <w:pageBreakBefore w:val="0"/>
        <w:spacing w:before="0" w:after="0" w:line="560" w:lineRule="exact"/>
        <w:widowControl w:val="off"/>
        <w:rPr>
          <w:rFonts w:hint="eastAsia" w:ascii="仿宋" w:hAnsi="仿宋" w:eastAsia="仿宋" w:cs="仿宋"/>
          <w:bCs w:val="0"/>
          <w:color w:val="auto"/>
          <w:sz w:val="24"/>
          <w:szCs w:val="24"/>
          <w:highlight w:val="none"/>
        </w:rPr>
      </w:pPr>
      <w:r/>
      <w:bookmarkStart w:id="92" w:name="_Toc513029214"/>
      <w:r/>
      <w:bookmarkStart w:id="93" w:name="_Toc16938530"/>
      <w:r/>
      <w:bookmarkStart w:id="94" w:name="_Toc462564073"/>
      <w:r/>
      <w:bookmarkStart w:id="95" w:name="_Toc20823286"/>
      <w:r>
        <w:rPr>
          <w:rFonts w:hint="eastAsia" w:ascii="仿宋" w:hAnsi="仿宋" w:eastAsia="仿宋" w:cs="仿宋"/>
          <w:b/>
          <w:bCs/>
          <w:color w:val="auto"/>
          <w:sz w:val="24"/>
          <w:szCs w:val="24"/>
          <w:highlight w:val="none"/>
        </w:rPr>
        <w:t xml:space="preserve">9、投标文件的语言及度量衡单位</w:t>
      </w:r>
      <w:bookmarkEnd w:id="92"/>
      <w:r/>
      <w:bookmarkEnd w:id="93"/>
      <w:r/>
      <w:bookmarkEnd w:id="94"/>
      <w:r/>
      <w:bookmarkEnd w:id="95"/>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9.1</w:t>
      </w:r>
      <w:r>
        <w:rPr>
          <w:rFonts w:hint="eastAsia" w:ascii="仿宋" w:hAnsi="仿宋" w:eastAsia="仿宋" w:cs="仿宋"/>
          <w:color w:val="auto"/>
          <w:sz w:val="24"/>
          <w:szCs w:val="24"/>
          <w:highlight w:val="none"/>
        </w:rPr>
        <w:t xml:space="preserve"> 投标人提交的投标文件以及投标人与采购代理机构就有关投标的所有来往通知、函件和文件均应使用</w:t>
      </w:r>
      <w:r>
        <w:rPr>
          <w:rFonts w:hint="eastAsia" w:ascii="仿宋" w:hAnsi="仿宋" w:eastAsia="仿宋" w:cs="仿宋"/>
          <w:b/>
          <w:bCs/>
          <w:color w:val="auto"/>
          <w:sz w:val="24"/>
          <w:szCs w:val="24"/>
          <w:highlight w:val="none"/>
        </w:rPr>
        <w:t xml:space="preserve">简体中文</w:t>
      </w:r>
      <w:r>
        <w:rPr>
          <w:rFonts w:hint="eastAsia" w:ascii="仿宋" w:hAnsi="仿宋" w:eastAsia="仿宋" w:cs="仿宋"/>
          <w:color w:val="auto"/>
          <w:sz w:val="24"/>
          <w:szCs w:val="24"/>
          <w:highlight w:val="none"/>
        </w:rPr>
        <w:t xml:space="preserve">。</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9.2</w:t>
      </w:r>
      <w:r>
        <w:rPr>
          <w:rFonts w:hint="eastAsia" w:ascii="仿宋" w:hAnsi="仿宋" w:eastAsia="仿宋" w:cs="仿宋"/>
          <w:color w:val="auto"/>
          <w:sz w:val="24"/>
          <w:szCs w:val="24"/>
          <w:highlight w:val="none"/>
        </w:rPr>
        <w:t xml:space="preserve"> 除技术性能另有规定外，投标文件所使用的度量衡单位，均须采用国家法定计量单位。</w:t>
      </w:r>
      <w:r/>
    </w:p>
    <w:p>
      <w:pPr>
        <w:pStyle w:val="928"/>
        <w:ind w:left="0" w:firstLine="480"/>
        <w:pageBreakBefore w:val="0"/>
        <w:spacing w:before="0" w:after="0" w:line="560" w:lineRule="exact"/>
        <w:widowControl w:val="off"/>
        <w:rPr>
          <w:rFonts w:hint="eastAsia" w:ascii="仿宋" w:hAnsi="仿宋" w:eastAsia="仿宋" w:cs="仿宋"/>
          <w:b/>
          <w:bCs/>
          <w:color w:val="auto"/>
          <w:sz w:val="24"/>
          <w:szCs w:val="24"/>
          <w:highlight w:val="none"/>
        </w:rPr>
      </w:pPr>
      <w:r/>
      <w:bookmarkStart w:id="96" w:name="_Toc513029215"/>
      <w:r/>
      <w:bookmarkStart w:id="97" w:name="_Toc20823287"/>
      <w:r/>
      <w:bookmarkStart w:id="98" w:name="_Toc16938531"/>
      <w:r/>
      <w:bookmarkStart w:id="99" w:name="_Toc462564074"/>
      <w:r>
        <w:rPr>
          <w:rFonts w:hint="eastAsia" w:ascii="仿宋" w:hAnsi="仿宋" w:eastAsia="仿宋" w:cs="仿宋"/>
          <w:b/>
          <w:bCs/>
          <w:color w:val="auto"/>
          <w:sz w:val="24"/>
          <w:szCs w:val="24"/>
          <w:highlight w:val="none"/>
        </w:rPr>
        <w:t xml:space="preserve">10、投标文件构成</w:t>
      </w:r>
      <w:bookmarkEnd w:id="96"/>
      <w:r/>
      <w:bookmarkEnd w:id="97"/>
      <w:r/>
      <w:bookmarkEnd w:id="98"/>
      <w:r/>
      <w:bookmarkEnd w:id="99"/>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10.1 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各投标人在编制投标文件时请按照招标文件第六</w:t>
      </w:r>
      <w:r>
        <w:rPr>
          <w:rFonts w:hint="eastAsia" w:ascii="仿宋" w:hAnsi="仿宋" w:eastAsia="仿宋" w:cs="仿宋"/>
          <w:bCs/>
          <w:color w:val="auto"/>
          <w:sz w:val="24"/>
          <w:szCs w:val="24"/>
          <w:highlight w:val="none"/>
        </w:rPr>
        <w:t xml:space="preserve">章</w:t>
      </w:r>
      <w:r>
        <w:rPr>
          <w:rFonts w:hint="eastAsia" w:ascii="仿宋" w:hAnsi="仿宋" w:eastAsia="仿宋" w:cs="仿宋"/>
          <w:bCs/>
          <w:color w:val="auto"/>
          <w:sz w:val="24"/>
          <w:szCs w:val="24"/>
          <w:highlight w:val="none"/>
          <w:lang w:val="zh-CN"/>
        </w:rPr>
        <w:t xml:space="preserve">规定的格式进行，混乱的编排导致投标文件被误读或评标委员会查找不到有效文件是投标人的风险。</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 投标人编写的投标文件应包括资格证明文件、符合性证明文件、响应及偏离表、其他证明文件、投标函、开标一览表等部分。投标文件构成资料为非中文时应提供中文译版。</w:t>
      </w:r>
      <w:r/>
    </w:p>
    <w:p>
      <w:pPr>
        <w:ind w:left="0" w:firstLine="48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10.3 投标文件须加盖电子签章之处，应按要求加盖投标人数字证书的电子签章。其他需要盖章但未明确要求电子签章的，投标人可按要求加盖公章后上传材料电子件或直接加盖电子签章。</w:t>
      </w:r>
      <w:r/>
    </w:p>
    <w:p>
      <w:pPr>
        <w:ind w:left="0" w:firstLine="482"/>
        <w:pageBreakBefore w:val="0"/>
        <w:spacing w:line="56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10.4 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w:t>
      </w:r>
      <w:r>
        <w:rPr>
          <w:rFonts w:hint="eastAsia" w:ascii="仿宋" w:hAnsi="仿宋" w:eastAsia="仿宋" w:cs="仿宋"/>
          <w:b/>
          <w:bCs w:val="0"/>
          <w:color w:val="auto"/>
          <w:sz w:val="24"/>
          <w:szCs w:val="24"/>
          <w:highlight w:val="none"/>
          <w:lang w:eastAsia="zh-CN"/>
        </w:rPr>
        <w:t xml:space="preserve">（</w:t>
      </w:r>
      <w:r>
        <w:rPr>
          <w:rFonts w:hint="eastAsia" w:ascii="仿宋" w:hAnsi="仿宋" w:eastAsia="仿宋" w:cs="仿宋"/>
          <w:b/>
          <w:bCs w:val="0"/>
          <w:color w:val="auto"/>
          <w:sz w:val="24"/>
          <w:szCs w:val="24"/>
          <w:highlight w:val="none"/>
        </w:rPr>
        <w:t xml:space="preserve">因“苏采云”系统导致解密失败的除外</w:t>
      </w:r>
      <w:r>
        <w:rPr>
          <w:rFonts w:hint="eastAsia" w:ascii="仿宋" w:hAnsi="仿宋" w:eastAsia="仿宋" w:cs="仿宋"/>
          <w:b/>
          <w:bCs w:val="0"/>
          <w:color w:val="auto"/>
          <w:sz w:val="24"/>
          <w:szCs w:val="24"/>
          <w:highlight w:val="none"/>
          <w:lang w:eastAsia="zh-CN"/>
        </w:rPr>
        <w:t xml:space="preserve">）</w:t>
      </w:r>
      <w:r>
        <w:rPr>
          <w:rFonts w:hint="eastAsia" w:ascii="仿宋" w:hAnsi="仿宋" w:eastAsia="仿宋" w:cs="仿宋"/>
          <w:b/>
          <w:bCs w:val="0"/>
          <w:color w:val="auto"/>
          <w:sz w:val="24"/>
          <w:szCs w:val="24"/>
          <w:highlight w:val="none"/>
        </w:rPr>
        <w:t xml:space="preserve">。</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10.5 如标书制作工具中格式、内容与“江苏政府采购网”“宿迁市政府采购网”发布的采购文件不一致的，以“江苏政府采购网”“宿迁市政府采购网”发布的采购文件为准。</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10.6 中标后按相关要求提供与电子投标文件一致的纸质打印投标文件2份。</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bookmarkStart w:id="100" w:name="EBc50e2bb832bb43068403b10c1cce6141"/>
      <w:r>
        <w:rPr>
          <w:rFonts w:hint="eastAsia" w:ascii="仿宋" w:hAnsi="仿宋" w:eastAsia="仿宋" w:cs="仿宋"/>
          <w:bCs/>
          <w:color w:val="auto"/>
          <w:sz w:val="24"/>
          <w:szCs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w:t>
      </w:r>
      <w:r>
        <w:rPr>
          <w:rFonts w:hint="eastAsia" w:ascii="仿宋" w:hAnsi="仿宋" w:eastAsia="仿宋" w:cs="仿宋"/>
          <w:bCs/>
          <w:color w:val="auto"/>
          <w:sz w:val="24"/>
          <w:szCs w:val="24"/>
          <w:highlight w:val="none"/>
          <w:lang w:eastAsia="zh-CN"/>
        </w:rPr>
        <w:t xml:space="preserve">评标委员会</w:t>
      </w:r>
      <w:r>
        <w:rPr>
          <w:rFonts w:hint="eastAsia" w:ascii="仿宋" w:hAnsi="仿宋" w:eastAsia="仿宋" w:cs="仿宋"/>
          <w:bCs/>
          <w:color w:val="auto"/>
          <w:sz w:val="24"/>
          <w:szCs w:val="24"/>
          <w:highlight w:val="none"/>
        </w:rPr>
        <w:t xml:space="preserve">可以视其未提供。（3）无论何种原因，即使投标人开标时携带了证书证明资料的原件，但电子投标文件中未包含相关资料电子件的，</w:t>
      </w:r>
      <w:r>
        <w:rPr>
          <w:rFonts w:hint="eastAsia" w:ascii="仿宋" w:hAnsi="仿宋" w:eastAsia="仿宋" w:cs="仿宋"/>
          <w:bCs/>
          <w:color w:val="auto"/>
          <w:sz w:val="24"/>
          <w:szCs w:val="24"/>
          <w:highlight w:val="none"/>
          <w:lang w:eastAsia="zh-CN"/>
        </w:rPr>
        <w:t xml:space="preserve">评标委员会</w:t>
      </w:r>
      <w:r>
        <w:rPr>
          <w:rFonts w:hint="eastAsia" w:ascii="仿宋" w:hAnsi="仿宋" w:eastAsia="仿宋" w:cs="仿宋"/>
          <w:bCs/>
          <w:color w:val="auto"/>
          <w:sz w:val="24"/>
          <w:szCs w:val="24"/>
          <w:highlight w:val="none"/>
        </w:rPr>
        <w:t xml:space="preserve">可以视同其未提供。</w:t>
      </w:r>
      <w:bookmarkEnd w:id="100"/>
      <w:r/>
      <w:r/>
    </w:p>
    <w:p>
      <w:pPr>
        <w:pStyle w:val="928"/>
        <w:ind w:left="0" w:firstLine="480"/>
        <w:pageBreakBefore w:val="0"/>
        <w:spacing w:before="0" w:after="0" w:line="560" w:lineRule="exact"/>
        <w:widowControl w:val="off"/>
        <w:rPr>
          <w:rFonts w:hint="eastAsia" w:ascii="仿宋" w:hAnsi="仿宋" w:eastAsia="仿宋" w:cs="仿宋"/>
          <w:b/>
          <w:bCs/>
          <w:color w:val="auto"/>
          <w:sz w:val="24"/>
          <w:szCs w:val="24"/>
          <w:highlight w:val="none"/>
        </w:rPr>
      </w:pPr>
      <w:r/>
      <w:bookmarkStart w:id="101" w:name="_Hlt26670360"/>
      <w:r/>
      <w:bookmarkEnd w:id="101"/>
      <w:r/>
      <w:bookmarkStart w:id="102" w:name="_Hlt26668975"/>
      <w:r/>
      <w:bookmarkEnd w:id="102"/>
      <w:r/>
      <w:bookmarkStart w:id="103" w:name="_Hlt26954838"/>
      <w:r/>
      <w:bookmarkEnd w:id="103"/>
      <w:r/>
      <w:bookmarkStart w:id="104" w:name="_Toc513029219"/>
      <w:r/>
      <w:bookmarkStart w:id="105" w:name="_Toc513029216"/>
      <w:r/>
      <w:bookmarkStart w:id="106" w:name="_Toc49090507"/>
      <w:r/>
      <w:bookmarkStart w:id="107" w:name="_Toc14577357"/>
      <w:r/>
      <w:bookmarkStart w:id="108" w:name="_Toc49090509"/>
      <w:r/>
      <w:bookmarkStart w:id="109" w:name="_Toc14577354"/>
      <w:r>
        <w:rPr>
          <w:rFonts w:hint="eastAsia" w:ascii="仿宋" w:hAnsi="仿宋" w:eastAsia="仿宋" w:cs="仿宋"/>
          <w:b/>
          <w:bCs/>
          <w:color w:val="auto"/>
          <w:sz w:val="24"/>
          <w:szCs w:val="24"/>
          <w:highlight w:val="none"/>
        </w:rPr>
        <w:t xml:space="preserve">11、证明投标人及投标标的符合招标文件规定的文件</w:t>
      </w:r>
      <w:bookmarkEnd w:id="104"/>
      <w:r/>
      <w:bookmarkEnd w:id="105"/>
      <w:r/>
      <w:bookmarkEnd w:id="106"/>
      <w:r/>
      <w:bookmarkEnd w:id="107"/>
      <w:r/>
      <w:bookmarkEnd w:id="108"/>
      <w:r/>
      <w:bookmarkEnd w:id="109"/>
      <w:r/>
      <w:r/>
    </w:p>
    <w:p>
      <w:pPr>
        <w:ind w:left="0" w:firstLine="480"/>
        <w:pageBreakBefore w:val="0"/>
        <w:spacing w:line="560" w:lineRule="exact"/>
        <w:widowControl w:val="off"/>
        <w:rPr>
          <w:rFonts w:hint="eastAsia" w:ascii="仿宋" w:hAnsi="仿宋" w:eastAsia="仿宋" w:cs="仿宋"/>
          <w:color w:val="auto"/>
          <w:sz w:val="24"/>
          <w:szCs w:val="24"/>
          <w:highlight w:val="none"/>
        </w:rPr>
      </w:pPr>
      <w:r/>
      <w:bookmarkStart w:id="110" w:name="_Toc14577355"/>
      <w:r/>
      <w:bookmarkStart w:id="111" w:name="_Toc49090508"/>
      <w:r>
        <w:rPr>
          <w:rFonts w:hint="eastAsia" w:ascii="仿宋" w:hAnsi="仿宋" w:eastAsia="仿宋" w:cs="仿宋"/>
          <w:color w:val="auto"/>
          <w:sz w:val="24"/>
          <w:szCs w:val="24"/>
          <w:highlight w:val="none"/>
        </w:rPr>
        <w:t xml:space="preserve">11.1 投标人应按照法律、法规、规章和规范性文件以及招标文件要求提交证明文件，证明其及投标标的符合招标文件规定。</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招标文件对证明文件无明确形式要求的，证明文件可以以文字资料、图纸和数据等形式提交。</w:t>
      </w:r>
      <w:r/>
    </w:p>
    <w:p>
      <w:pPr>
        <w:ind w:left="0" w:firstLine="48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12、投标分项报价</w:t>
      </w:r>
      <w:bookmarkEnd w:id="110"/>
      <w:r/>
      <w:bookmarkStart w:id="112" w:name="_Hlt26670373"/>
      <w:r/>
      <w:bookmarkEnd w:id="112"/>
      <w:r>
        <w:rPr>
          <w:rFonts w:hint="eastAsia" w:ascii="仿宋" w:hAnsi="仿宋" w:eastAsia="仿宋" w:cs="仿宋"/>
          <w:b/>
          <w:bCs/>
          <w:color w:val="auto"/>
          <w:sz w:val="24"/>
          <w:szCs w:val="24"/>
          <w:highlight w:val="none"/>
        </w:rPr>
        <w:t xml:space="preserve">表</w:t>
      </w:r>
      <w:bookmarkEnd w:id="111"/>
      <w:r/>
      <w:bookmarkStart w:id="113" w:name="_Hlt26668983"/>
      <w:r/>
      <w:bookmarkEnd w:id="113"/>
      <w:r/>
      <w:bookmarkStart w:id="114" w:name="_Hlt26954842"/>
      <w:r/>
      <w:bookmarkEnd w:id="114"/>
      <w:r/>
      <w:bookmarkStart w:id="115" w:name="_Hlt26954844"/>
      <w:r/>
      <w:bookmarkEnd w:id="115"/>
      <w:r/>
      <w:bookmarkStart w:id="116" w:name="_Hlt26670482"/>
      <w:r/>
      <w:bookmarkEnd w:id="116"/>
      <w:r/>
      <w:bookmarkStart w:id="117" w:name="_Hlt26670425"/>
      <w:r/>
      <w:bookmarkEnd w:id="117"/>
      <w:r/>
      <w:bookmarkStart w:id="118" w:name="_Hlt26954846"/>
      <w:r/>
      <w:bookmarkEnd w:id="118"/>
      <w:r/>
      <w:bookmarkStart w:id="119" w:name="_Hlt26954848"/>
      <w:r/>
      <w:bookmarkEnd w:id="119"/>
      <w:r/>
      <w:bookmarkStart w:id="120" w:name="_Hlt26954731"/>
      <w:r/>
      <w:bookmarkEnd w:id="120"/>
      <w:r/>
      <w:bookmarkStart w:id="121" w:name="_Hlt26670403"/>
      <w:r/>
      <w:bookmarkEnd w:id="121"/>
      <w:r/>
      <w:bookmarkStart w:id="122" w:name="_Hlt26670486"/>
      <w:r/>
      <w:bookmarkEnd w:id="122"/>
      <w:r/>
      <w:r/>
    </w:p>
    <w:p>
      <w:pPr>
        <w:ind w:left="0" w:firstLine="48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12.1 投标人应按照招标文件规定格式填报投标分项报价表。</w:t>
      </w:r>
      <w:r/>
    </w:p>
    <w:p>
      <w:pPr>
        <w:ind w:left="0" w:firstLine="48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12.2投标货币。投标文件中的单价和总价无特殊规定的采用人民币报价，以元为单位标注。招标文件中另有规定的按规定执行。</w:t>
      </w:r>
      <w:r/>
    </w:p>
    <w:p>
      <w:pPr>
        <w:ind w:left="0" w:firstLine="48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12.3本项目不接受备选的投标方案或有选择的报价，只允许有一个报价。投标报价内容包括：服务本身、人工费、服务费、</w:t>
      </w:r>
      <w:r>
        <w:rPr>
          <w:rFonts w:hint="eastAsia" w:ascii="仿宋" w:hAnsi="仿宋" w:eastAsia="仿宋" w:cs="仿宋"/>
          <w:b w:val="0"/>
          <w:bCs w:val="0"/>
          <w:color w:val="auto"/>
          <w:sz w:val="24"/>
          <w:szCs w:val="24"/>
          <w:highlight w:val="none"/>
          <w:lang w:val="en-US" w:eastAsia="zh-CN"/>
        </w:rPr>
        <w:t xml:space="preserve">代理服务费、</w:t>
      </w:r>
      <w:r>
        <w:rPr>
          <w:rFonts w:hint="eastAsia" w:ascii="仿宋" w:hAnsi="仿宋" w:eastAsia="仿宋" w:cs="仿宋"/>
          <w:b w:val="0"/>
          <w:bCs w:val="0"/>
          <w:color w:val="auto"/>
          <w:sz w:val="24"/>
          <w:szCs w:val="24"/>
          <w:highlight w:val="none"/>
        </w:rPr>
        <w:t xml:space="preserve">税金以及交付使用过程中涉及到的其他一切费用。</w:t>
      </w:r>
      <w:r/>
    </w:p>
    <w:p>
      <w:pPr>
        <w:pStyle w:val="928"/>
        <w:ind w:left="0" w:firstLine="480"/>
        <w:pageBreakBefore w:val="0"/>
        <w:spacing w:before="0" w:after="0"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13、技术要求响应及偏离表、商务要求响应及偏离表</w:t>
      </w:r>
      <w:r/>
    </w:p>
    <w:p>
      <w:pPr>
        <w:ind w:left="0" w:firstLine="480"/>
        <w:pageBreakBefore w:val="0"/>
        <w:spacing w:line="560" w:lineRule="exact"/>
        <w:widowControl w:val="off"/>
        <w:rPr>
          <w:rFonts w:hint="eastAsia" w:ascii="仿宋" w:hAnsi="仿宋" w:eastAsia="仿宋" w:cs="仿宋"/>
          <w:color w:val="auto"/>
          <w:sz w:val="24"/>
          <w:szCs w:val="24"/>
          <w:highlight w:val="none"/>
          <w:lang w:val="zh-CN"/>
        </w:rPr>
      </w:pPr>
      <w:r/>
      <w:bookmarkStart w:id="123" w:name="_Toc14577359"/>
      <w:r/>
      <w:bookmarkStart w:id="124" w:name="_Toc49090510"/>
      <w:r>
        <w:rPr>
          <w:rFonts w:hint="eastAsia" w:ascii="仿宋" w:hAnsi="仿宋" w:eastAsia="仿宋" w:cs="仿宋"/>
          <w:bCs/>
          <w:color w:val="auto"/>
          <w:sz w:val="24"/>
          <w:szCs w:val="24"/>
          <w:highlight w:val="none"/>
          <w:lang w:val="zh-CN"/>
        </w:rPr>
        <w:t xml:space="preserve">13.1</w:t>
      </w:r>
      <w:r>
        <w:rPr>
          <w:rFonts w:hint="eastAsia" w:ascii="仿宋" w:hAnsi="仿宋" w:eastAsia="仿宋" w:cs="仿宋"/>
          <w:color w:val="auto"/>
          <w:sz w:val="24"/>
          <w:szCs w:val="24"/>
          <w:highlight w:val="none"/>
          <w:lang w:val="zh-CN"/>
        </w:rPr>
        <w:t xml:space="preserve"> 投标人需对招标文件中的技术要求与商务要求逐项作出响应或偏离，并说明原因。</w:t>
      </w:r>
      <w:r/>
    </w:p>
    <w:p>
      <w:pPr>
        <w:ind w:left="0" w:firstLine="480"/>
        <w:pageBreakBefore w:val="0"/>
        <w:spacing w:line="560" w:lineRule="exact"/>
        <w:widowControl w:val="off"/>
        <w:tabs>
          <w:tab w:val="left" w:pos="1035"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13.2 投标人可在投标文件中提供认为需要的其他技术文件或说明。</w:t>
      </w:r>
      <w:r/>
    </w:p>
    <w:p>
      <w:pPr>
        <w:pStyle w:val="928"/>
        <w:ind w:left="0" w:firstLine="480"/>
        <w:pageBreakBefore w:val="0"/>
        <w:spacing w:before="0" w:after="0"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14、投标声明及承诺函和开标一览表</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14.1</w:t>
      </w:r>
      <w:r>
        <w:rPr>
          <w:rFonts w:hint="eastAsia" w:ascii="仿宋" w:hAnsi="仿宋" w:eastAsia="仿宋" w:cs="仿宋"/>
          <w:color w:val="auto"/>
          <w:sz w:val="24"/>
          <w:szCs w:val="24"/>
          <w:highlight w:val="none"/>
        </w:rPr>
        <w:t xml:space="preserve"> 投标人应按照招标文件中提供的格式完整、正确填写投标声明及承诺函、开标一览表。</w:t>
      </w:r>
      <w:r/>
    </w:p>
    <w:p>
      <w:pPr>
        <w:ind w:left="0" w:firstLine="480"/>
        <w:pageBreakBefore w:val="0"/>
        <w:spacing w:line="560" w:lineRule="exact"/>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14.2</w:t>
      </w:r>
      <w:r>
        <w:rPr>
          <w:rFonts w:hint="eastAsia" w:ascii="仿宋" w:hAnsi="仿宋" w:eastAsia="仿宋" w:cs="仿宋"/>
          <w:color w:val="auto"/>
          <w:sz w:val="24"/>
          <w:szCs w:val="24"/>
          <w:highlight w:val="none"/>
        </w:rPr>
        <w:t xml:space="preserve"> 对于采用货币报价的项目，</w:t>
      </w:r>
      <w:r>
        <w:rPr>
          <w:rFonts w:hint="eastAsia" w:ascii="仿宋" w:hAnsi="仿宋" w:eastAsia="仿宋" w:cs="仿宋"/>
          <w:bCs/>
          <w:color w:val="auto"/>
          <w:sz w:val="24"/>
          <w:szCs w:val="24"/>
          <w:highlight w:val="none"/>
        </w:rPr>
        <w:t xml:space="preserve">开标一览表中的投标总报价应与投标分项报价表中的投标总报价一致，如不一致，</w:t>
      </w:r>
      <w:r>
        <w:rPr>
          <w:rFonts w:hint="eastAsia" w:ascii="仿宋" w:hAnsi="仿宋" w:eastAsia="仿宋" w:cs="仿宋"/>
          <w:color w:val="auto"/>
          <w:sz w:val="24"/>
          <w:szCs w:val="24"/>
          <w:highlight w:val="none"/>
        </w:rPr>
        <w:t xml:space="preserve">不作为无效投标处理</w:t>
      </w:r>
      <w:r>
        <w:rPr>
          <w:rFonts w:hint="eastAsia" w:ascii="仿宋" w:hAnsi="仿宋" w:eastAsia="仿宋" w:cs="仿宋"/>
          <w:bCs/>
          <w:color w:val="auto"/>
          <w:sz w:val="24"/>
          <w:szCs w:val="24"/>
          <w:highlight w:val="none"/>
        </w:rPr>
        <w:t xml:space="preserve">，但评标时按开标一览表中价格为准</w:t>
      </w:r>
      <w:r>
        <w:rPr>
          <w:rFonts w:hint="eastAsia" w:ascii="仿宋" w:hAnsi="仿宋" w:eastAsia="仿宋" w:cs="仿宋"/>
          <w:bCs/>
          <w:color w:val="auto"/>
          <w:sz w:val="24"/>
          <w:szCs w:val="24"/>
          <w:highlight w:val="none"/>
          <w:lang w:eastAsia="zh-CN"/>
        </w:rPr>
        <w:t xml:space="preserve">。</w:t>
      </w:r>
      <w:r/>
    </w:p>
    <w:p>
      <w:pPr>
        <w:ind w:left="0" w:firstLine="48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14.</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报价注意事项：</w:t>
      </w:r>
      <w:r>
        <w:rPr>
          <w:rFonts w:hint="eastAsia" w:ascii="仿宋" w:hAnsi="仿宋" w:eastAsia="仿宋" w:cs="仿宋"/>
          <w:bCs/>
          <w:color w:val="auto"/>
          <w:sz w:val="24"/>
          <w:szCs w:val="24"/>
          <w:highlight w:val="none"/>
          <w:lang w:eastAsia="zh-CN"/>
        </w:rPr>
        <w:t xml:space="preserve">投标价格一律以人民币计算，以元为单位标注，最多保留至小数点后两位，招标文件</w:t>
      </w:r>
      <w:r>
        <w:rPr>
          <w:rFonts w:hint="eastAsia" w:ascii="仿宋" w:hAnsi="仿宋" w:eastAsia="仿宋" w:cs="仿宋"/>
          <w:bCs/>
          <w:color w:val="auto"/>
          <w:sz w:val="24"/>
          <w:szCs w:val="24"/>
          <w:highlight w:val="none"/>
          <w:lang w:val="en-US" w:eastAsia="zh-CN"/>
        </w:rPr>
        <w:t xml:space="preserve">另</w:t>
      </w:r>
      <w:r>
        <w:rPr>
          <w:rFonts w:hint="eastAsia" w:ascii="仿宋" w:hAnsi="仿宋" w:eastAsia="仿宋" w:cs="仿宋"/>
          <w:bCs/>
          <w:color w:val="auto"/>
          <w:sz w:val="24"/>
          <w:szCs w:val="24"/>
          <w:highlight w:val="none"/>
          <w:lang w:eastAsia="zh-CN"/>
        </w:rPr>
        <w:t xml:space="preserve">有规定的按招标文件执行</w:t>
      </w:r>
      <w:r>
        <w:rPr>
          <w:rFonts w:hint="eastAsia" w:ascii="仿宋" w:hAnsi="仿宋" w:eastAsia="仿宋" w:cs="仿宋"/>
          <w:b/>
          <w:bCs/>
          <w:color w:val="auto"/>
          <w:sz w:val="24"/>
          <w:szCs w:val="24"/>
          <w:highlight w:val="none"/>
        </w:rPr>
        <w:t xml:space="preserve">。</w:t>
      </w:r>
      <w:bookmarkEnd w:id="123"/>
      <w:r/>
      <w:bookmarkEnd w:id="124"/>
      <w:r/>
      <w:r/>
    </w:p>
    <w:p>
      <w:pPr>
        <w:ind w:left="0" w:firstLine="48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注：因苏采云系统原因，“开标一览表”中的“投标报价”请按照“承办服务费”的报价填写，本项目以单价形式进行报价。</w:t>
      </w:r>
      <w:r/>
    </w:p>
    <w:p>
      <w:pPr>
        <w:ind w:left="0" w:firstLine="48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本项目以所有中标人承办服务费报价的平均值（含小数点后两位）作为最终承办服务费计提比例。</w:t>
      </w:r>
      <w:r/>
    </w:p>
    <w:p>
      <w:pPr>
        <w:pStyle w:val="928"/>
        <w:ind w:left="0" w:firstLine="480"/>
        <w:pageBreakBefore w:val="0"/>
        <w:spacing w:before="0" w:after="0" w:line="560" w:lineRule="exact"/>
        <w:widowControl w:val="off"/>
        <w:rPr>
          <w:rFonts w:hint="eastAsia" w:ascii="仿宋" w:hAnsi="仿宋" w:eastAsia="仿宋" w:cs="仿宋"/>
          <w:b/>
          <w:bCs/>
          <w:color w:val="auto"/>
          <w:sz w:val="24"/>
          <w:szCs w:val="24"/>
          <w:highlight w:val="none"/>
        </w:rPr>
      </w:pPr>
      <w:r/>
      <w:bookmarkStart w:id="125" w:name="_Hlt26954850"/>
      <w:r/>
      <w:bookmarkEnd w:id="125"/>
      <w:r/>
      <w:bookmarkStart w:id="126" w:name="_Hlt26954734"/>
      <w:r/>
      <w:bookmarkEnd w:id="126"/>
      <w:r/>
      <w:bookmarkStart w:id="127" w:name="_Hlt26670489"/>
      <w:r/>
      <w:bookmarkEnd w:id="127"/>
      <w:r/>
      <w:bookmarkStart w:id="128" w:name="_Toc14577360"/>
      <w:r/>
      <w:bookmarkStart w:id="129" w:name="_Toc49090511"/>
      <w:r>
        <w:rPr>
          <w:rFonts w:hint="eastAsia" w:ascii="仿宋" w:hAnsi="仿宋" w:eastAsia="仿宋" w:cs="仿宋"/>
          <w:b/>
          <w:bCs/>
          <w:color w:val="auto"/>
          <w:sz w:val="24"/>
          <w:szCs w:val="24"/>
          <w:highlight w:val="none"/>
        </w:rPr>
        <w:t xml:space="preserve">15、投标有效期</w:t>
      </w:r>
      <w:bookmarkEnd w:id="128"/>
      <w:r/>
      <w:bookmarkEnd w:id="129"/>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15.1</w:t>
      </w:r>
      <w:r>
        <w:rPr>
          <w:rFonts w:hint="eastAsia" w:ascii="仿宋" w:hAnsi="仿宋" w:eastAsia="仿宋" w:cs="仿宋"/>
          <w:bCs/>
          <w:color w:val="auto"/>
          <w:sz w:val="24"/>
          <w:szCs w:val="24"/>
          <w:highlight w:val="none"/>
        </w:rPr>
        <w:t xml:space="preserve"> 投标有效期为开标之日后</w:t>
      </w:r>
      <w:r>
        <w:rPr>
          <w:rFonts w:hint="eastAsia" w:ascii="仿宋" w:hAnsi="仿宋" w:eastAsia="仿宋" w:cs="仿宋"/>
          <w:b/>
          <w:color w:val="auto"/>
          <w:sz w:val="24"/>
          <w:szCs w:val="24"/>
          <w:highlight w:val="none"/>
          <w:u w:val="single"/>
        </w:rPr>
        <w:t xml:space="preserve">六十（60）天</w:t>
      </w:r>
      <w:r>
        <w:rPr>
          <w:rFonts w:hint="eastAsia" w:ascii="仿宋" w:hAnsi="仿宋" w:eastAsia="仿宋" w:cs="仿宋"/>
          <w:bCs/>
          <w:color w:val="auto"/>
          <w:sz w:val="24"/>
          <w:szCs w:val="24"/>
          <w:highlight w:val="none"/>
        </w:rPr>
        <w:t xml:space="preserve">。投标有效期比规定短的将被视为未实质性响应招标文件而予以拒绝。</w:t>
      </w:r>
      <w:r/>
    </w:p>
    <w:p>
      <w:pPr>
        <w:pStyle w:val="928"/>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 xml:space="preserve">16、投标有效期的延长</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16.1</w:t>
      </w:r>
      <w:r>
        <w:rPr>
          <w:rFonts w:hint="eastAsia" w:ascii="仿宋" w:hAnsi="仿宋" w:eastAsia="仿宋" w:cs="仿宋"/>
          <w:bCs/>
          <w:color w:val="auto"/>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highlight w:val="none"/>
        </w:rPr>
        <w:t xml:space="preserve">同意延长投标有效期的投标人既不能要求也不允许修改其投标文件</w:t>
      </w:r>
      <w:r>
        <w:rPr>
          <w:rFonts w:hint="eastAsia" w:ascii="仿宋" w:hAnsi="仿宋" w:eastAsia="仿宋" w:cs="仿宋"/>
          <w:color w:val="auto"/>
          <w:sz w:val="24"/>
          <w:szCs w:val="24"/>
          <w:highlight w:val="none"/>
        </w:rPr>
        <w:t xml:space="preserve">，同时受投标有效期约束的所有权利与义务均延长至新的有效期</w:t>
      </w:r>
      <w:r>
        <w:rPr>
          <w:rFonts w:hint="eastAsia" w:ascii="仿宋" w:hAnsi="仿宋" w:eastAsia="仿宋" w:cs="仿宋"/>
          <w:bCs/>
          <w:color w:val="auto"/>
          <w:sz w:val="24"/>
          <w:szCs w:val="24"/>
          <w:highlight w:val="none"/>
        </w:rPr>
        <w:t xml:space="preserve">。</w:t>
      </w:r>
      <w:r/>
    </w:p>
    <w:p>
      <w:pPr>
        <w:ind w:left="0" w:firstLine="480"/>
        <w:pageBreakBefore w:val="0"/>
        <w:spacing w:line="56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16.2中标人的投标文件作为项目服务合同的附件，其有效期至中标人全部合同义务履行完毕为止。</w:t>
      </w:r>
      <w:r/>
    </w:p>
    <w:p>
      <w:pPr>
        <w:pStyle w:val="924"/>
        <w:ind w:left="0" w:firstLine="482"/>
        <w:pageBreakBefore w:val="0"/>
        <w:spacing w:before="0" w:after="0" w:line="560" w:lineRule="exact"/>
        <w:widowControl w:val="off"/>
        <w:rPr>
          <w:rFonts w:hint="eastAsia" w:ascii="仿宋" w:hAnsi="仿宋" w:eastAsia="仿宋" w:cs="仿宋"/>
          <w:color w:val="auto"/>
          <w:sz w:val="24"/>
          <w:szCs w:val="24"/>
          <w:highlight w:val="none"/>
        </w:rPr>
      </w:pPr>
      <w:r/>
      <w:bookmarkStart w:id="130" w:name="_Hlt26954739"/>
      <w:r/>
      <w:bookmarkEnd w:id="130"/>
      <w:r/>
      <w:bookmarkStart w:id="131" w:name="_Hlt26954852"/>
      <w:r/>
      <w:bookmarkEnd w:id="131"/>
      <w:r/>
      <w:bookmarkStart w:id="132" w:name="_Toc20823296"/>
      <w:r/>
      <w:bookmarkStart w:id="133" w:name="_Toc16938540"/>
      <w:r/>
      <w:bookmarkStart w:id="134" w:name="_Toc120614217"/>
      <w:r/>
      <w:bookmarkStart w:id="135" w:name="_Toc513029224"/>
      <w:r>
        <w:rPr>
          <w:rFonts w:hint="eastAsia" w:ascii="仿宋" w:hAnsi="仿宋" w:eastAsia="仿宋" w:cs="仿宋"/>
          <w:color w:val="auto"/>
          <w:sz w:val="24"/>
          <w:szCs w:val="24"/>
          <w:highlight w:val="none"/>
        </w:rPr>
        <w:t xml:space="preserve">四、投标文件的递交</w:t>
      </w:r>
      <w:bookmarkEnd w:id="132"/>
      <w:r/>
      <w:bookmarkEnd w:id="133"/>
      <w:r/>
      <w:bookmarkEnd w:id="134"/>
      <w:r/>
      <w:bookmarkEnd w:id="135"/>
      <w:r/>
      <w:r/>
    </w:p>
    <w:p>
      <w:pPr>
        <w:pStyle w:val="928"/>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bookmarkStart w:id="136" w:name="_Toc462564084"/>
      <w:r/>
      <w:bookmarkStart w:id="137" w:name="_Toc16938541"/>
      <w:r/>
      <w:bookmarkStart w:id="138" w:name="_Toc513029225"/>
      <w:r/>
      <w:bookmarkStart w:id="139" w:name="_Toc20823297"/>
      <w:r>
        <w:rPr>
          <w:rFonts w:hint="eastAsia" w:ascii="仿宋" w:hAnsi="仿宋" w:eastAsia="仿宋" w:cs="仿宋"/>
          <w:b w:val="0"/>
          <w:bCs w:val="0"/>
          <w:color w:val="auto"/>
          <w:sz w:val="24"/>
          <w:szCs w:val="24"/>
          <w:highlight w:val="none"/>
        </w:rPr>
        <w:t xml:space="preserve">17、投标文件</w:t>
      </w:r>
      <w:bookmarkEnd w:id="136"/>
      <w:r/>
      <w:bookmarkEnd w:id="137"/>
      <w:r/>
      <w:bookmarkEnd w:id="138"/>
      <w:r/>
      <w:bookmarkEnd w:id="139"/>
      <w:r>
        <w:rPr>
          <w:rFonts w:hint="eastAsia" w:ascii="仿宋" w:hAnsi="仿宋" w:eastAsia="仿宋" w:cs="仿宋"/>
          <w:b w:val="0"/>
          <w:bCs w:val="0"/>
          <w:color w:val="auto"/>
          <w:sz w:val="24"/>
          <w:szCs w:val="24"/>
          <w:highlight w:val="none"/>
        </w:rPr>
        <w:t xml:space="preserve">的递交</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17.1投标人应在招标文件规定的投标截止时间前提交投标文件并将电子投标文件上传至“苏采云”系统对应的本次开标采购包中。除招标文件另有规定外，投标人所提交的投标文件不予退还。</w:t>
      </w:r>
      <w:bookmarkStart w:id="140" w:name="_Toc513029226"/>
      <w:r/>
      <w:bookmarkStart w:id="141" w:name="_Toc16938542"/>
      <w:r/>
      <w:bookmarkStart w:id="142" w:name="_Toc20823298"/>
      <w:r/>
      <w:r/>
    </w:p>
    <w:p>
      <w:pPr>
        <w:ind w:left="0" w:firstLine="482"/>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17.2投标人通过“苏采云”系统不见面开标大厅在线参与开标活动。（具体操作详见《“苏采云”系统投标人操作手册》，网址链接http://www.ccgp-jiangsu.gov.cn//webfile/jiangsu/202311/1699268553318052447.pdf）</w:t>
      </w:r>
      <w:r/>
    </w:p>
    <w:p>
      <w:pPr>
        <w:pStyle w:val="928"/>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18、投标截止</w:t>
      </w:r>
      <w:bookmarkEnd w:id="140"/>
      <w:r/>
      <w:bookmarkEnd w:id="141"/>
      <w:r/>
      <w:bookmarkEnd w:id="142"/>
      <w:r>
        <w:rPr>
          <w:rFonts w:hint="eastAsia" w:ascii="仿宋" w:hAnsi="仿宋" w:eastAsia="仿宋" w:cs="仿宋"/>
          <w:b w:val="0"/>
          <w:bCs w:val="0"/>
          <w:color w:val="auto"/>
          <w:sz w:val="24"/>
          <w:szCs w:val="24"/>
          <w:highlight w:val="none"/>
        </w:rPr>
        <w:t xml:space="preserve">时间</w:t>
      </w:r>
      <w:r/>
    </w:p>
    <w:p>
      <w:pPr>
        <w:ind w:left="0" w:firstLine="480"/>
        <w:pageBreakBefore w:val="0"/>
        <w:spacing w:line="560" w:lineRule="exact"/>
        <w:widowControl w:val="off"/>
        <w:rPr>
          <w:rFonts w:hint="eastAsia" w:ascii="仿宋" w:hAnsi="仿宋" w:eastAsia="仿宋" w:cs="仿宋"/>
          <w:bCs/>
          <w:iCs/>
          <w:color w:val="auto"/>
          <w:sz w:val="24"/>
          <w:szCs w:val="24"/>
          <w:highlight w:val="none"/>
        </w:rPr>
      </w:pPr>
      <w:r>
        <w:rPr>
          <w:rFonts w:hint="eastAsia" w:ascii="仿宋" w:hAnsi="仿宋" w:eastAsia="仿宋" w:cs="仿宋"/>
          <w:iCs/>
          <w:color w:val="auto"/>
          <w:sz w:val="24"/>
          <w:szCs w:val="24"/>
          <w:highlight w:val="none"/>
        </w:rPr>
        <w:t xml:space="preserve">18.1</w:t>
      </w:r>
      <w:r>
        <w:rPr>
          <w:rFonts w:hint="eastAsia" w:ascii="仿宋" w:hAnsi="仿宋" w:eastAsia="仿宋" w:cs="仿宋"/>
          <w:bCs/>
          <w:iCs/>
          <w:color w:val="auto"/>
          <w:sz w:val="24"/>
          <w:szCs w:val="24"/>
          <w:highlight w:val="none"/>
        </w:rPr>
        <w:t xml:space="preserve">投标人上传电子投标文件的时间不得迟于招标公告中规定的投标截止时间。</w:t>
      </w:r>
      <w:r/>
    </w:p>
    <w:p>
      <w:pPr>
        <w:ind w:left="0" w:firstLine="480"/>
        <w:pageBreakBefore w:val="0"/>
        <w:spacing w:line="560" w:lineRule="exact"/>
        <w:widowControl w:val="off"/>
        <w:rPr>
          <w:rFonts w:hint="eastAsia" w:ascii="仿宋" w:hAnsi="仿宋" w:eastAsia="仿宋" w:cs="仿宋"/>
          <w:bCs/>
          <w:iCs/>
          <w:color w:val="auto"/>
          <w:sz w:val="24"/>
          <w:szCs w:val="24"/>
          <w:highlight w:val="none"/>
        </w:rPr>
      </w:pPr>
      <w:r>
        <w:rPr>
          <w:rFonts w:hint="eastAsia" w:ascii="仿宋" w:hAnsi="仿宋" w:eastAsia="仿宋" w:cs="仿宋"/>
          <w:bCs/>
          <w:color w:val="auto"/>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18.2</w:t>
      </w:r>
      <w:r>
        <w:rPr>
          <w:rFonts w:hint="eastAsia" w:ascii="仿宋" w:hAnsi="仿宋" w:eastAsia="仿宋" w:cs="仿宋"/>
          <w:bCs/>
          <w:color w:val="auto"/>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pStyle w:val="928"/>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bookmarkStart w:id="143" w:name="_Toc20823299"/>
      <w:r/>
      <w:bookmarkStart w:id="144" w:name="_Toc513029227"/>
      <w:r/>
      <w:bookmarkStart w:id="145" w:name="_Toc16938543"/>
      <w:r>
        <w:rPr>
          <w:rFonts w:hint="eastAsia" w:ascii="仿宋" w:hAnsi="仿宋" w:eastAsia="仿宋" w:cs="仿宋"/>
          <w:b w:val="0"/>
          <w:bCs w:val="0"/>
          <w:color w:val="auto"/>
          <w:sz w:val="24"/>
          <w:szCs w:val="24"/>
          <w:highlight w:val="none"/>
        </w:rPr>
        <w:t xml:space="preserve">19、投标文件</w:t>
      </w:r>
      <w:bookmarkEnd w:id="143"/>
      <w:r/>
      <w:bookmarkEnd w:id="144"/>
      <w:r/>
      <w:bookmarkEnd w:id="145"/>
      <w:r>
        <w:rPr>
          <w:rFonts w:hint="eastAsia" w:ascii="仿宋" w:hAnsi="仿宋" w:eastAsia="仿宋" w:cs="仿宋"/>
          <w:b w:val="0"/>
          <w:bCs w:val="0"/>
          <w:color w:val="auto"/>
          <w:sz w:val="24"/>
          <w:szCs w:val="24"/>
          <w:highlight w:val="none"/>
        </w:rPr>
        <w:t xml:space="preserve">的拒收</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19.1 </w:t>
      </w:r>
      <w:r>
        <w:rPr>
          <w:rFonts w:hint="eastAsia" w:ascii="仿宋" w:hAnsi="仿宋" w:eastAsia="仿宋" w:cs="仿宋"/>
          <w:bCs/>
          <w:color w:val="auto"/>
          <w:sz w:val="24"/>
          <w:szCs w:val="24"/>
          <w:highlight w:val="none"/>
        </w:rPr>
        <w:t xml:space="preserve">采购代理机构拒绝接收在招标文件规定的投标截止时间后上传的投标文件或对投标报价或其他实质性内容修正的文件。</w:t>
      </w:r>
      <w:r/>
    </w:p>
    <w:p>
      <w:pPr>
        <w:pStyle w:val="928"/>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bookmarkStart w:id="146" w:name="_Toc16938544"/>
      <w:r/>
      <w:bookmarkStart w:id="147" w:name="_Toc20823300"/>
      <w:r/>
      <w:bookmarkStart w:id="148" w:name="_Toc513029228"/>
      <w:r>
        <w:rPr>
          <w:rFonts w:hint="eastAsia" w:ascii="仿宋" w:hAnsi="仿宋" w:eastAsia="仿宋" w:cs="仿宋"/>
          <w:b w:val="0"/>
          <w:bCs w:val="0"/>
          <w:color w:val="auto"/>
          <w:sz w:val="24"/>
          <w:szCs w:val="24"/>
          <w:highlight w:val="none"/>
        </w:rPr>
        <w:t xml:space="preserve">20、投标文件的撤回和修改</w:t>
      </w:r>
      <w:bookmarkEnd w:id="146"/>
      <w:r/>
      <w:bookmarkEnd w:id="147"/>
      <w:r/>
      <w:bookmarkEnd w:id="148"/>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 投标文件的撤回</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20.1.1 电子投标文件的撤回</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投标人可在投标截止时间前，撤回其电子投标文件，具体操作方法见《操作手册》。</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20.1.2 投标人撤回电子投标文件，则认为其不再参与本项目投标活动。</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 投标文件的修改</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20.2.1投标人可在投标截止时间前，对其电子投标文件进行修改，具体操作方法见《操作手册》。</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20.2.2</w:t>
      </w:r>
      <w:r>
        <w:rPr>
          <w:rFonts w:hint="eastAsia" w:ascii="仿宋" w:hAnsi="仿宋" w:eastAsia="仿宋" w:cs="仿宋"/>
          <w:bCs/>
          <w:color w:val="auto"/>
          <w:sz w:val="24"/>
          <w:szCs w:val="24"/>
          <w:highlight w:val="none"/>
        </w:rPr>
        <w:t xml:space="preserve"> 在投标截止时间之后，投标人不得对其电子投标文件作任何修改。</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20.3</w:t>
      </w:r>
      <w:r>
        <w:rPr>
          <w:rFonts w:hint="eastAsia" w:ascii="仿宋" w:hAnsi="仿宋" w:eastAsia="仿宋" w:cs="仿宋"/>
          <w:bCs/>
          <w:color w:val="auto"/>
          <w:sz w:val="24"/>
          <w:szCs w:val="24"/>
          <w:highlight w:val="none"/>
        </w:rPr>
        <w:t xml:space="preserve">在投标截止时间至招标文件中规定的投标有效期满之间的这段时间内，投标人不得撤回其投标。</w:t>
      </w:r>
      <w:r/>
    </w:p>
    <w:p>
      <w:pPr>
        <w:pStyle w:val="924"/>
        <w:ind w:left="0" w:firstLine="482"/>
        <w:pageBreakBefore w:val="0"/>
        <w:spacing w:before="0" w:after="0" w:line="560" w:lineRule="exact"/>
        <w:widowControl w:val="off"/>
        <w:rPr>
          <w:rFonts w:hint="eastAsia" w:ascii="仿宋" w:hAnsi="仿宋" w:eastAsia="仿宋" w:cs="仿宋"/>
          <w:color w:val="auto"/>
          <w:sz w:val="24"/>
          <w:szCs w:val="24"/>
          <w:highlight w:val="none"/>
        </w:rPr>
      </w:pPr>
      <w:r/>
      <w:bookmarkStart w:id="149" w:name="_Toc16938545"/>
      <w:r/>
      <w:bookmarkStart w:id="150" w:name="_Toc120614218"/>
      <w:r/>
      <w:bookmarkStart w:id="151" w:name="_Toc20823301"/>
      <w:r/>
      <w:bookmarkStart w:id="152" w:name="_Toc513029229"/>
      <w:r>
        <w:rPr>
          <w:rFonts w:hint="eastAsia" w:ascii="仿宋" w:hAnsi="仿宋" w:eastAsia="仿宋" w:cs="仿宋"/>
          <w:color w:val="auto"/>
          <w:sz w:val="24"/>
          <w:szCs w:val="24"/>
          <w:highlight w:val="none"/>
        </w:rPr>
        <w:t xml:space="preserve">五、开标与评标</w:t>
      </w:r>
      <w:bookmarkEnd w:id="149"/>
      <w:r/>
      <w:bookmarkEnd w:id="150"/>
      <w:r/>
      <w:bookmarkEnd w:id="151"/>
      <w:r/>
      <w:bookmarkEnd w:id="152"/>
      <w:r/>
      <w:r/>
    </w:p>
    <w:p>
      <w:pPr>
        <w:pStyle w:val="928"/>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bookmarkStart w:id="153" w:name="_Toc16938546"/>
      <w:r/>
      <w:bookmarkStart w:id="154" w:name="_Toc513029230"/>
      <w:r/>
      <w:bookmarkStart w:id="155" w:name="_Toc20823302"/>
      <w:r>
        <w:rPr>
          <w:rFonts w:hint="eastAsia" w:ascii="仿宋" w:hAnsi="仿宋" w:eastAsia="仿宋" w:cs="仿宋"/>
          <w:b w:val="0"/>
          <w:bCs w:val="0"/>
          <w:color w:val="auto"/>
          <w:sz w:val="24"/>
          <w:szCs w:val="24"/>
          <w:highlight w:val="none"/>
        </w:rPr>
        <w:t xml:space="preserve">21、开标</w:t>
      </w:r>
      <w:bookmarkEnd w:id="153"/>
      <w:r/>
      <w:bookmarkEnd w:id="154"/>
      <w:r/>
      <w:bookmarkEnd w:id="155"/>
      <w:r/>
      <w:r/>
    </w:p>
    <w:p>
      <w:pPr>
        <w:pStyle w:val="1031"/>
        <w:ind w:left="0" w:firstLine="480"/>
        <w:pageBreakBefore w:val="0"/>
        <w:spacing w:line="560" w:lineRule="exact"/>
        <w:widowControl w:val="off"/>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21.1</w:t>
      </w:r>
      <w:r>
        <w:rPr>
          <w:rFonts w:hint="eastAsia" w:ascii="仿宋" w:hAnsi="仿宋" w:eastAsia="仿宋" w:cs="仿宋"/>
          <w:bCs/>
          <w:color w:val="auto"/>
          <w:sz w:val="24"/>
          <w:szCs w:val="24"/>
          <w:highlight w:val="none"/>
        </w:rPr>
        <w:t xml:space="preserve">采购代理机构将在招标公告中规定的时间和地点组织公开开标</w:t>
      </w:r>
      <w:r>
        <w:rPr>
          <w:rFonts w:hint="eastAsia" w:ascii="仿宋" w:hAnsi="仿宋" w:eastAsia="仿宋" w:cs="仿宋"/>
          <w:color w:val="auto"/>
          <w:sz w:val="24"/>
          <w:szCs w:val="24"/>
          <w:highlight w:val="none"/>
          <w:lang w:val="en-US"/>
        </w:rPr>
        <w:t xml:space="preserve">。投标人应当按照《“苏采云”系统</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lang w:val="en-US"/>
        </w:rPr>
        <w:t xml:space="preserve">操作手册》规定，参加开标活动和在“苏采云”系统规定的时间内对投标文件进行解密。</w:t>
      </w:r>
      <w:r/>
    </w:p>
    <w:p>
      <w:pPr>
        <w:pStyle w:val="1031"/>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firstLine="480"/>
        <w:pageBreakBefore w:val="0"/>
        <w:spacing w:line="56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rPr>
        <w:t xml:space="preserve">21.3投标人在开标过程中涉及到的投标文件解密、开标结果确认等工作，应按照《操作手册》规定执行。</w:t>
      </w:r>
      <w:r>
        <w:rPr>
          <w:rFonts w:hint="eastAsia" w:ascii="仿宋" w:hAnsi="仿宋" w:eastAsia="仿宋" w:cs="仿宋"/>
          <w:b/>
          <w:bCs w:val="0"/>
          <w:color w:val="auto"/>
          <w:sz w:val="24"/>
          <w:szCs w:val="24"/>
          <w:highlight w:val="none"/>
        </w:rPr>
        <w:t xml:space="preserve">投标人用于解密的CA证书应为该投标文件生成加密、上传的同一把CA证书。投标人应登录“苏采云”系统进入“开标大厅”，在系统约定时间内使用CA证书解密，未成功解密的视为放弃投标</w:t>
      </w:r>
      <w:r>
        <w:rPr>
          <w:rFonts w:hint="eastAsia" w:ascii="仿宋" w:hAnsi="仿宋" w:eastAsia="仿宋" w:cs="仿宋"/>
          <w:b/>
          <w:bCs w:val="0"/>
          <w:color w:val="auto"/>
          <w:sz w:val="24"/>
          <w:szCs w:val="24"/>
          <w:highlight w:val="none"/>
          <w:lang w:eastAsia="zh-CN"/>
        </w:rPr>
        <w:t xml:space="preserve">。</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ind w:left="0" w:firstLine="480"/>
        <w:pageBreakBefore w:val="0"/>
        <w:spacing w:line="56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21.5投标人在开、评标全过程中应保持通讯畅通，及时登录“苏采云”系统查阅、答复相关信息。</w:t>
      </w:r>
      <w:r/>
    </w:p>
    <w:p>
      <w:pPr>
        <w:pStyle w:val="928"/>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bookmarkStart w:id="156" w:name="_Toc513029231"/>
      <w:r/>
      <w:bookmarkStart w:id="157" w:name="_Toc16938547"/>
      <w:r/>
      <w:bookmarkStart w:id="158" w:name="_Toc20823303"/>
      <w:r>
        <w:rPr>
          <w:rFonts w:hint="eastAsia" w:ascii="仿宋" w:hAnsi="仿宋" w:eastAsia="仿宋" w:cs="仿宋"/>
          <w:b w:val="0"/>
          <w:bCs w:val="0"/>
          <w:color w:val="auto"/>
          <w:sz w:val="24"/>
          <w:szCs w:val="24"/>
          <w:highlight w:val="none"/>
        </w:rPr>
        <w:t xml:space="preserve">22、评标委员会</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w:t>
      </w:r>
      <w:r>
        <w:rPr>
          <w:rFonts w:hint="eastAsia" w:ascii="仿宋" w:hAnsi="仿宋" w:eastAsia="仿宋" w:cs="仿宋"/>
          <w:b/>
          <w:color w:val="auto"/>
          <w:sz w:val="24"/>
          <w:szCs w:val="24"/>
          <w:highlight w:val="none"/>
        </w:rPr>
        <w:t xml:space="preserve"> </w:t>
      </w:r>
      <w:r>
        <w:rPr>
          <w:rFonts w:hint="eastAsia" w:ascii="仿宋" w:hAnsi="仿宋" w:eastAsia="仿宋" w:cs="仿宋"/>
          <w:b w:val="0"/>
          <w:bCs/>
          <w:color w:val="auto"/>
          <w:sz w:val="24"/>
          <w:szCs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pStyle w:val="928"/>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23、评标过程的保密与公正</w:t>
      </w:r>
      <w:bookmarkEnd w:id="156"/>
      <w:r/>
      <w:bookmarkEnd w:id="157"/>
      <w:r/>
      <w:bookmarkEnd w:id="158"/>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23.1</w:t>
      </w:r>
      <w:r>
        <w:rPr>
          <w:rFonts w:hint="eastAsia" w:ascii="仿宋" w:hAnsi="仿宋" w:eastAsia="仿宋" w:cs="仿宋"/>
          <w:bCs/>
          <w:color w:val="auto"/>
          <w:sz w:val="24"/>
          <w:szCs w:val="24"/>
          <w:highlight w:val="none"/>
        </w:rPr>
        <w:t xml:space="preserve">凡是与审查、澄清、评价和比较投标的有关资料以及授标建议等，采购人、评委、采购代理机构均不得向投标人或与评标无关的其他人员透露。</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23.2在评标过程中，投标人不得以任何行为影响评标过程，否则其投标文件将被作为无效投标文件。</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23.3采购代理机构和</w:t>
      </w:r>
      <w:r>
        <w:rPr>
          <w:rFonts w:hint="eastAsia" w:ascii="仿宋" w:hAnsi="仿宋" w:eastAsia="仿宋" w:cs="仿宋"/>
          <w:color w:val="auto"/>
          <w:sz w:val="24"/>
          <w:szCs w:val="24"/>
          <w:highlight w:val="none"/>
          <w:lang w:eastAsia="zh-CN"/>
        </w:rPr>
        <w:t xml:space="preserve">评标委员会</w:t>
      </w:r>
      <w:r>
        <w:rPr>
          <w:rFonts w:hint="eastAsia" w:ascii="仿宋" w:hAnsi="仿宋" w:eastAsia="仿宋" w:cs="仿宋"/>
          <w:color w:val="auto"/>
          <w:sz w:val="24"/>
          <w:szCs w:val="24"/>
          <w:highlight w:val="none"/>
        </w:rPr>
        <w:t xml:space="preserve">不向未中标的投标人解释未中标原因，也不公布评标过程中的相关细节。</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23.4采用综合评分法的项目，未中标的投标人可于中标结果公告期限届满之日起通过“苏采云”系统查看自己的评审得分及排序情况。</w:t>
      </w:r>
      <w:r/>
    </w:p>
    <w:p>
      <w:pPr>
        <w:pStyle w:val="928"/>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bookmarkStart w:id="159" w:name="_Toc16938548"/>
      <w:r/>
      <w:bookmarkStart w:id="160" w:name="_Toc513029232"/>
      <w:r/>
      <w:bookmarkStart w:id="161" w:name="_Toc20823304"/>
      <w:r>
        <w:rPr>
          <w:rFonts w:hint="eastAsia" w:ascii="仿宋" w:hAnsi="仿宋" w:eastAsia="仿宋" w:cs="仿宋"/>
          <w:b w:val="0"/>
          <w:bCs w:val="0"/>
          <w:color w:val="auto"/>
          <w:sz w:val="24"/>
          <w:szCs w:val="24"/>
          <w:highlight w:val="none"/>
        </w:rPr>
        <w:t xml:space="preserve">24、投标文件的澄清</w:t>
      </w:r>
      <w:bookmarkEnd w:id="159"/>
      <w:r/>
      <w:bookmarkEnd w:id="160"/>
      <w:r/>
      <w:bookmarkEnd w:id="161"/>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24.1评标期间，</w:t>
      </w:r>
      <w:r>
        <w:rPr>
          <w:rFonts w:hint="eastAsia" w:ascii="仿宋" w:hAnsi="仿宋" w:eastAsia="仿宋" w:cs="仿宋"/>
          <w:color w:val="auto"/>
          <w:sz w:val="24"/>
          <w:szCs w:val="24"/>
          <w:highlight w:val="none"/>
          <w:lang w:eastAsia="zh-CN"/>
        </w:rPr>
        <w:t xml:space="preserve">评标委员会</w:t>
      </w:r>
      <w:r>
        <w:rPr>
          <w:rFonts w:hint="eastAsia" w:ascii="仿宋" w:hAnsi="仿宋" w:eastAsia="仿宋" w:cs="仿宋"/>
          <w:color w:val="auto"/>
          <w:sz w:val="24"/>
          <w:szCs w:val="24"/>
          <w:highlight w:val="none"/>
        </w:rPr>
        <w:t xml:space="preserve">对投标文件中含义不明确、同类问题表述不一致或者有明显文字和计算错误的内容，有权要求投标人作出必要的澄清、说明或者补正。</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投标人的澄清、说明或者补正不得超出投标文件的范围或者改变投标文件的实质性内容。</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评标委员会</w:t>
      </w:r>
      <w:r>
        <w:rPr>
          <w:rFonts w:hint="eastAsia" w:ascii="仿宋" w:hAnsi="仿宋" w:eastAsia="仿宋" w:cs="仿宋"/>
          <w:color w:val="auto"/>
          <w:sz w:val="24"/>
          <w:szCs w:val="24"/>
          <w:highlight w:val="none"/>
        </w:rPr>
        <w:t xml:space="preserve">并非对每个投标人都做澄清要求。</w:t>
      </w:r>
      <w:r/>
    </w:p>
    <w:p>
      <w:pPr>
        <w:pStyle w:val="1031"/>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24.2对投标文件中含义不明确、同类问题表述不一致或者有明显文字和计算错误的内容，需要投标人进行澄清、说明和补正的，</w:t>
      </w:r>
      <w:r>
        <w:rPr>
          <w:rFonts w:hint="eastAsia" w:ascii="仿宋" w:hAnsi="仿宋" w:eastAsia="仿宋" w:cs="仿宋"/>
          <w:color w:val="auto"/>
          <w:sz w:val="24"/>
          <w:szCs w:val="24"/>
          <w:highlight w:val="none"/>
          <w:lang w:val="en-US"/>
        </w:rPr>
        <w:t xml:space="preserve">本项目投标人的澄清、说明或者补正采用线上澄清，</w:t>
      </w:r>
      <w:r>
        <w:rPr>
          <w:rFonts w:hint="eastAsia" w:ascii="仿宋" w:hAnsi="仿宋" w:eastAsia="仿宋" w:cs="仿宋"/>
          <w:color w:val="auto"/>
          <w:sz w:val="24"/>
          <w:szCs w:val="24"/>
          <w:highlight w:val="none"/>
          <w:lang w:eastAsia="zh-CN"/>
        </w:rPr>
        <w:t xml:space="preserve">评标委员会</w:t>
      </w:r>
      <w:r>
        <w:rPr>
          <w:rFonts w:hint="eastAsia" w:ascii="仿宋" w:hAnsi="仿宋" w:eastAsia="仿宋" w:cs="仿宋"/>
          <w:color w:val="auto"/>
          <w:sz w:val="24"/>
          <w:szCs w:val="24"/>
          <w:highlight w:val="none"/>
        </w:rPr>
        <w:t xml:space="preserve">将通过</w:t>
      </w:r>
      <w:r>
        <w:rPr>
          <w:rFonts w:hint="eastAsia" w:ascii="仿宋" w:hAnsi="仿宋" w:eastAsia="仿宋" w:cs="仿宋"/>
          <w:color w:val="auto"/>
          <w:sz w:val="24"/>
          <w:szCs w:val="24"/>
          <w:highlight w:val="none"/>
          <w:lang w:val="en-US"/>
        </w:rPr>
        <w:t xml:space="preserve">“苏采云”系统</w:t>
      </w:r>
      <w:r>
        <w:rPr>
          <w:rFonts w:hint="eastAsia" w:ascii="仿宋" w:hAnsi="仿宋" w:eastAsia="仿宋" w:cs="仿宋"/>
          <w:color w:val="auto"/>
          <w:sz w:val="24"/>
          <w:szCs w:val="24"/>
          <w:highlight w:val="none"/>
        </w:rPr>
        <w:t xml:space="preserve">向投标人发出“澄清要求函”，要求投标人作出必要的澄清、说明或者补正。投标人的澄清、说明或者补正应当采用书面形式且不得超出投标文件的范围或者改变投标文件的实质性内容。接到“澄清要求函”的投标人应当按照要求</w:t>
      </w:r>
      <w:r>
        <w:rPr>
          <w:rFonts w:hint="eastAsia" w:ascii="仿宋" w:hAnsi="仿宋" w:eastAsia="仿宋" w:cs="仿宋"/>
          <w:color w:val="auto"/>
          <w:sz w:val="24"/>
          <w:szCs w:val="24"/>
          <w:highlight w:val="none"/>
          <w:lang w:val="en-US"/>
        </w:rPr>
        <w:t xml:space="preserve">在规定时间内通过“苏采云”系统</w:t>
      </w:r>
      <w:r>
        <w:rPr>
          <w:rFonts w:hint="eastAsia" w:ascii="仿宋" w:hAnsi="仿宋" w:eastAsia="仿宋" w:cs="仿宋"/>
          <w:color w:val="auto"/>
          <w:sz w:val="24"/>
          <w:szCs w:val="24"/>
          <w:highlight w:val="none"/>
        </w:rPr>
        <w:t xml:space="preserve">中提交“澄清响应函”并加盖CA电子公章。澄清、说明和补正的内容作为投标文件的补充部分，具体操作方式见《操作手册》。</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24.3接到</w:t>
      </w:r>
      <w:r>
        <w:rPr>
          <w:rFonts w:hint="eastAsia" w:ascii="仿宋" w:hAnsi="仿宋" w:eastAsia="仿宋" w:cs="仿宋"/>
          <w:color w:val="auto"/>
          <w:sz w:val="24"/>
          <w:szCs w:val="24"/>
          <w:highlight w:val="none"/>
          <w:lang w:eastAsia="zh-CN"/>
        </w:rPr>
        <w:t xml:space="preserve">评标委员会</w:t>
      </w:r>
      <w:r>
        <w:rPr>
          <w:rFonts w:hint="eastAsia" w:ascii="仿宋" w:hAnsi="仿宋" w:eastAsia="仿宋" w:cs="仿宋"/>
          <w:color w:val="auto"/>
          <w:sz w:val="24"/>
          <w:szCs w:val="24"/>
          <w:highlight w:val="none"/>
        </w:rPr>
        <w:t xml:space="preserve">澄清、说明和补正要求的投标人如未按规定做出澄清、说明和补正，其风险由投标人自行承担。</w:t>
      </w:r>
      <w:r/>
    </w:p>
    <w:p>
      <w:pPr>
        <w:pStyle w:val="928"/>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bookmarkStart w:id="162" w:name="_Toc513029233"/>
      <w:r/>
      <w:bookmarkStart w:id="163" w:name="_Toc20823305"/>
      <w:r/>
      <w:bookmarkStart w:id="164" w:name="_Toc16938549"/>
      <w:r>
        <w:rPr>
          <w:rFonts w:hint="eastAsia" w:ascii="仿宋" w:hAnsi="仿宋" w:eastAsia="仿宋" w:cs="仿宋"/>
          <w:b w:val="0"/>
          <w:bCs w:val="0"/>
          <w:color w:val="auto"/>
          <w:sz w:val="24"/>
          <w:szCs w:val="24"/>
          <w:highlight w:val="none"/>
        </w:rPr>
        <w:t xml:space="preserve">25、对投标文件的初审</w:t>
      </w:r>
      <w:bookmarkEnd w:id="162"/>
      <w:r/>
      <w:bookmarkEnd w:id="163"/>
      <w:r/>
      <w:bookmarkEnd w:id="164"/>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25.1 </w:t>
      </w:r>
      <w:r>
        <w:rPr>
          <w:rFonts w:hint="eastAsia" w:ascii="仿宋" w:hAnsi="仿宋" w:eastAsia="仿宋" w:cs="仿宋"/>
          <w:bCs/>
          <w:color w:val="auto"/>
          <w:sz w:val="24"/>
          <w:szCs w:val="24"/>
          <w:highlight w:val="none"/>
        </w:rPr>
        <w:t xml:space="preserve">投标文件初审分为资格审查和符合性审查。</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25.1.1资格审查：依据法律法规和招标文件的规定，</w:t>
      </w:r>
      <w:r>
        <w:rPr>
          <w:rFonts w:hint="eastAsia" w:ascii="仿宋" w:hAnsi="仿宋" w:eastAsia="仿宋" w:cs="仿宋"/>
          <w:color w:val="auto"/>
          <w:sz w:val="24"/>
          <w:szCs w:val="24"/>
          <w:highlight w:val="none"/>
        </w:rPr>
        <w:t xml:space="preserve">由采购人或其委托的代理机构对投标文件中的资格证明文件进行审查，以确定投标人是否具备投标资格。</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采购人在进行资格性审查的同时，将在“信用中国”网站（www.creditchina.gov.cn）查询投标人的信用记录，以确定投标人是否具备投标资格</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查询结果留存并归档。</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25.1.2符合性审查：依据招标文件的规定，由</w:t>
      </w:r>
      <w:r>
        <w:rPr>
          <w:rFonts w:hint="eastAsia" w:ascii="仿宋" w:hAnsi="仿宋" w:eastAsia="仿宋" w:cs="仿宋"/>
          <w:bCs/>
          <w:color w:val="auto"/>
          <w:sz w:val="24"/>
          <w:szCs w:val="24"/>
          <w:highlight w:val="none"/>
          <w:lang w:eastAsia="zh-CN"/>
        </w:rPr>
        <w:t xml:space="preserve">评标委员会</w:t>
      </w:r>
      <w:r>
        <w:rPr>
          <w:rFonts w:hint="eastAsia" w:ascii="仿宋" w:hAnsi="仿宋" w:eastAsia="仿宋" w:cs="仿宋"/>
          <w:bCs/>
          <w:color w:val="auto"/>
          <w:sz w:val="24"/>
          <w:szCs w:val="24"/>
          <w:highlight w:val="none"/>
        </w:rPr>
        <w:t xml:space="preserve">从投标文件的有效性、完整性和对招标文件的响应程度进行审查，以确定是否对招标文件的实质性要求作出响应。</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25.1.3对各投标人符合性审查过程中，对初步被认定为无效投标者，由</w:t>
      </w:r>
      <w:r>
        <w:rPr>
          <w:rFonts w:hint="eastAsia" w:ascii="仿宋" w:hAnsi="仿宋" w:eastAsia="仿宋" w:cs="仿宋"/>
          <w:color w:val="auto"/>
          <w:sz w:val="24"/>
          <w:szCs w:val="24"/>
          <w:highlight w:val="none"/>
          <w:lang w:eastAsia="zh-CN"/>
        </w:rPr>
        <w:t xml:space="preserve">评标委员会</w:t>
      </w:r>
      <w:r>
        <w:rPr>
          <w:rFonts w:hint="eastAsia" w:ascii="仿宋" w:hAnsi="仿宋" w:eastAsia="仿宋" w:cs="仿宋"/>
          <w:color w:val="auto"/>
          <w:sz w:val="24"/>
          <w:szCs w:val="24"/>
          <w:highlight w:val="none"/>
        </w:rPr>
        <w:t xml:space="preserve">组长或采购人代表将集体意见通过</w:t>
      </w:r>
      <w:r>
        <w:rPr>
          <w:rFonts w:hint="eastAsia" w:ascii="仿宋" w:hAnsi="仿宋" w:eastAsia="仿宋" w:cs="仿宋"/>
          <w:color w:val="auto"/>
          <w:sz w:val="24"/>
          <w:szCs w:val="24"/>
          <w:highlight w:val="none"/>
          <w:lang w:val="zh-CN"/>
        </w:rPr>
        <w:t xml:space="preserve">“苏采云”系统中告知未通过符合性审查的原因，评标结束后，将不再告知未通过符合性审查的原因</w:t>
      </w:r>
      <w:r>
        <w:rPr>
          <w:rFonts w:hint="eastAsia" w:ascii="仿宋" w:hAnsi="仿宋" w:eastAsia="仿宋" w:cs="仿宋"/>
          <w:color w:val="auto"/>
          <w:sz w:val="24"/>
          <w:szCs w:val="24"/>
          <w:highlight w:val="none"/>
        </w:rPr>
        <w:t xml:space="preserve">。</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25.2在详细评标之前，</w:t>
      </w:r>
      <w:r>
        <w:rPr>
          <w:rFonts w:hint="eastAsia" w:ascii="仿宋" w:hAnsi="仿宋" w:eastAsia="仿宋" w:cs="仿宋"/>
          <w:color w:val="auto"/>
          <w:sz w:val="24"/>
          <w:szCs w:val="24"/>
          <w:highlight w:val="none"/>
          <w:lang w:eastAsia="zh-CN"/>
        </w:rPr>
        <w:t xml:space="preserve">评标委员会</w:t>
      </w:r>
      <w:r>
        <w:rPr>
          <w:rFonts w:hint="eastAsia" w:ascii="仿宋" w:hAnsi="仿宋" w:eastAsia="仿宋" w:cs="仿宋"/>
          <w:color w:val="auto"/>
          <w:sz w:val="24"/>
          <w:szCs w:val="24"/>
          <w:highlight w:val="none"/>
        </w:rPr>
        <w:t xml:space="preserve">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w:t>
      </w:r>
      <w:r>
        <w:rPr>
          <w:rFonts w:hint="eastAsia" w:ascii="仿宋" w:hAnsi="仿宋" w:eastAsia="仿宋" w:cs="仿宋"/>
          <w:color w:val="auto"/>
          <w:sz w:val="24"/>
          <w:szCs w:val="24"/>
          <w:highlight w:val="none"/>
          <w:lang w:eastAsia="zh-CN"/>
        </w:rPr>
        <w:t xml:space="preserve">评标委员会</w:t>
      </w:r>
      <w:r>
        <w:rPr>
          <w:rFonts w:hint="eastAsia" w:ascii="仿宋" w:hAnsi="仿宋" w:eastAsia="仿宋" w:cs="仿宋"/>
          <w:color w:val="auto"/>
          <w:sz w:val="24"/>
          <w:szCs w:val="24"/>
          <w:highlight w:val="none"/>
        </w:rPr>
        <w:t xml:space="preserve">以少数服从多数的原则作出结论。评委决定投标文件的响应性只根据投标文件本身的内容，而不寻求外部的证据。</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25.3如果投标文件实质上没有响应招标文件的要求，</w:t>
      </w:r>
      <w:r>
        <w:rPr>
          <w:rFonts w:hint="eastAsia" w:ascii="仿宋" w:hAnsi="仿宋" w:eastAsia="仿宋" w:cs="仿宋"/>
          <w:color w:val="auto"/>
          <w:sz w:val="24"/>
          <w:szCs w:val="24"/>
          <w:highlight w:val="none"/>
          <w:lang w:eastAsia="zh-CN"/>
        </w:rPr>
        <w:t xml:space="preserve">评标委员会</w:t>
      </w:r>
      <w:r>
        <w:rPr>
          <w:rFonts w:hint="eastAsia" w:ascii="仿宋" w:hAnsi="仿宋" w:eastAsia="仿宋" w:cs="仿宋"/>
          <w:color w:val="auto"/>
          <w:sz w:val="24"/>
          <w:szCs w:val="24"/>
          <w:highlight w:val="none"/>
        </w:rPr>
        <w:t xml:space="preserve">将予以拒绝，投标人不得通过修改或撤销不合要求的偏离或保留而使其投标成为实质性响应的投标。</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25.4</w:t>
      </w:r>
      <w:r>
        <w:rPr>
          <w:rFonts w:hint="eastAsia" w:ascii="仿宋" w:hAnsi="仿宋" w:eastAsia="仿宋" w:cs="仿宋"/>
          <w:bCs/>
          <w:color w:val="auto"/>
          <w:sz w:val="24"/>
          <w:szCs w:val="24"/>
          <w:highlight w:val="none"/>
          <w:lang w:eastAsia="zh-CN"/>
        </w:rPr>
        <w:t xml:space="preserve">评标委员会</w:t>
      </w:r>
      <w:r>
        <w:rPr>
          <w:rFonts w:hint="eastAsia" w:ascii="仿宋" w:hAnsi="仿宋" w:eastAsia="仿宋" w:cs="仿宋"/>
          <w:bCs/>
          <w:color w:val="auto"/>
          <w:sz w:val="24"/>
          <w:szCs w:val="24"/>
          <w:highlight w:val="none"/>
        </w:rPr>
        <w:t xml:space="preserve">将对确定为实质性响应的投标进行进一步审核，确定其是否有计算上或累加上的算术错误，修正错误的原则如下：</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（1）投标文件中开标一览表内容与投标文件中相应内容不一致的，以开标一览表为准。</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（2）大写金额和小写金额不一致的，以大写金额为准。</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（3）单价金额小数点或者百分比有明显错位的，以开标一览表的总价为准，并修改单价。</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（4）总价金额与按单价汇总金额不一致的，以单价金额计算结果为准。</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同时出现两种以上错误的，按照前款规定的顺序修正。</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25.5</w:t>
      </w:r>
      <w:r>
        <w:rPr>
          <w:rFonts w:hint="eastAsia" w:ascii="仿宋" w:hAnsi="仿宋" w:eastAsia="仿宋" w:cs="仿宋"/>
          <w:bCs/>
          <w:color w:val="auto"/>
          <w:sz w:val="24"/>
          <w:szCs w:val="24"/>
          <w:highlight w:val="none"/>
          <w:lang w:eastAsia="zh-CN"/>
        </w:rPr>
        <w:t xml:space="preserve">评标委员会</w:t>
      </w:r>
      <w:r>
        <w:rPr>
          <w:rFonts w:hint="eastAsia" w:ascii="仿宋" w:hAnsi="仿宋" w:eastAsia="仿宋" w:cs="仿宋"/>
          <w:bCs/>
          <w:color w:val="auto"/>
          <w:sz w:val="24"/>
          <w:szCs w:val="24"/>
          <w:highlight w:val="none"/>
        </w:rPr>
        <w:t xml:space="preserve">将按上述修正错误的方法调整投标文件中的投标报价，并通过</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4"/>
          <w:highlight w:val="none"/>
        </w:rPr>
        <w:t xml:space="preserve">告知投标人，调整后的价格应对投标人具有约束力。如果投标人不接受修正后的价格，则其投标将被拒绝。</w:t>
      </w:r>
      <w:r/>
    </w:p>
    <w:p>
      <w:pPr>
        <w:ind w:left="0" w:firstLine="480"/>
        <w:pageBreakBefore w:val="0"/>
        <w:spacing w:line="560" w:lineRule="exact"/>
        <w:widowControl w:val="off"/>
        <w:rPr>
          <w:rFonts w:hint="eastAsia" w:ascii="仿宋" w:hAnsi="仿宋" w:eastAsia="仿宋" w:cs="仿宋"/>
          <w:color w:val="auto"/>
          <w:sz w:val="24"/>
          <w:szCs w:val="24"/>
          <w:highlight w:val="none"/>
        </w:rPr>
      </w:pPr>
      <w:r/>
      <w:bookmarkStart w:id="165" w:name="_Toc16938550"/>
      <w:r/>
      <w:bookmarkStart w:id="166" w:name="_Toc513029234"/>
      <w:r/>
      <w:bookmarkStart w:id="167" w:name="_Toc20823306"/>
      <w:r>
        <w:rPr>
          <w:rFonts w:hint="eastAsia" w:ascii="仿宋" w:hAnsi="仿宋" w:eastAsia="仿宋" w:cs="仿宋"/>
          <w:color w:val="auto"/>
          <w:sz w:val="24"/>
          <w:szCs w:val="24"/>
          <w:highlight w:val="none"/>
        </w:rPr>
        <w:t xml:space="preserve">评标过程中，不得去掉报价中的最高报价和最低报价。</w:t>
      </w:r>
      <w:r/>
    </w:p>
    <w:p>
      <w:pPr>
        <w:ind w:left="0" w:firstLine="48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25.</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 异常低价投标审查</w:t>
      </w:r>
      <w:r/>
    </w:p>
    <w:p>
      <w:pPr>
        <w:ind w:left="0" w:firstLine="48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25.</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.1评标过程中出现下列情形之一的，评标委员会应当启动异常低价投标审查程序：</w:t>
      </w:r>
      <w:r/>
    </w:p>
    <w:p>
      <w:pPr>
        <w:ind w:left="0" w:firstLine="48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（1）投标报价低于采购项目预算50%的，即投标报价＜采购项目预算×50%；</w:t>
      </w:r>
      <w:r/>
    </w:p>
    <w:p>
      <w:pPr>
        <w:ind w:left="0" w:firstLine="48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（2）投标报价低于采购项目最高限价45%的，即投标报价＜采购项目最高限价×45%；</w:t>
      </w:r>
      <w:r/>
    </w:p>
    <w:p>
      <w:pPr>
        <w:ind w:left="0" w:firstLine="48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（3）评标委员会认定的供应商报价过低（含明显低于其他通过符合性审查投标人的报价）、有可能影响产品质量或者不能诚信履约的其他情形。</w:t>
      </w:r>
      <w:r/>
    </w:p>
    <w:p>
      <w:pPr>
        <w:ind w:left="0" w:firstLine="48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25.</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2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 投标人在开、评标全过程中应随时保持系统在线，及时在“苏采云”系统查阅、答复相关信息。</w:t>
      </w:r>
      <w:r/>
    </w:p>
    <w:p>
      <w:pPr>
        <w:pStyle w:val="928"/>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26、</w:t>
      </w:r>
      <w:bookmarkEnd w:id="165"/>
      <w:r/>
      <w:bookmarkEnd w:id="166"/>
      <w:r/>
      <w:bookmarkEnd w:id="167"/>
      <w:r>
        <w:rPr>
          <w:rFonts w:hint="eastAsia" w:ascii="仿宋" w:hAnsi="仿宋" w:eastAsia="仿宋" w:cs="仿宋"/>
          <w:b w:val="0"/>
          <w:bCs w:val="0"/>
          <w:color w:val="auto"/>
          <w:sz w:val="24"/>
          <w:szCs w:val="24"/>
          <w:highlight w:val="none"/>
        </w:rPr>
        <w:t xml:space="preserve">无效投标条款和废标条款</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bookmarkStart w:id="168" w:name="_Toc513029235"/>
      <w:r/>
      <w:bookmarkStart w:id="169" w:name="_Toc16938551"/>
      <w:r/>
      <w:bookmarkStart w:id="170" w:name="_Toc20823307"/>
      <w:r>
        <w:rPr>
          <w:rFonts w:hint="eastAsia" w:ascii="仿宋" w:hAnsi="仿宋" w:eastAsia="仿宋" w:cs="仿宋"/>
          <w:bCs/>
          <w:color w:val="auto"/>
          <w:sz w:val="24"/>
          <w:szCs w:val="24"/>
          <w:highlight w:val="none"/>
        </w:rPr>
        <w:t xml:space="preserve">26.1无效投标条款</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26.1.1 投标人在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4"/>
          <w:highlight w:val="none"/>
        </w:rPr>
        <w:t xml:space="preserve">规定的时间内未成功解密电子投标文件的。</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26.1.2 投标人未按照招标文件要求上传电子投标文件的。</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26.1.3 投标人同一采购包提交两个（含两个）以上不同的投标报价的。</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26.1.4 投标人不符合招标文件规定资格要求的或未按规定提交资质证件的。</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26.1.5 投标人的报价超过了采购预算或最高限价的。</w:t>
      </w:r>
      <w:r/>
    </w:p>
    <w:p>
      <w:pPr>
        <w:ind w:left="0" w:firstLine="480"/>
        <w:pageBreakBefore w:val="0"/>
        <w:spacing w:line="560" w:lineRule="exact"/>
        <w:widowControl w:val="off"/>
        <w:rPr>
          <w:rFonts w:hint="eastAsia" w:ascii="仿宋" w:hAnsi="仿宋" w:eastAsia="仿宋" w:cs="仿宋"/>
          <w:bCs/>
          <w:i/>
          <w:color w:val="auto"/>
          <w:sz w:val="24"/>
          <w:szCs w:val="24"/>
          <w:highlight w:val="none"/>
          <w:u w:val="single"/>
        </w:rPr>
      </w:pPr>
      <w:r>
        <w:rPr>
          <w:rFonts w:hint="eastAsia" w:ascii="仿宋" w:hAnsi="仿宋" w:eastAsia="仿宋" w:cs="仿宋"/>
          <w:bCs/>
          <w:color w:val="auto"/>
          <w:sz w:val="24"/>
          <w:szCs w:val="24"/>
          <w:highlight w:val="none"/>
        </w:rPr>
        <w:t xml:space="preserve">26.1.6 未通过符合性审查的。</w:t>
      </w:r>
      <w:r/>
    </w:p>
    <w:p>
      <w:pPr>
        <w:ind w:left="0" w:firstLine="480"/>
        <w:pageBreakBefore w:val="0"/>
        <w:spacing w:line="560" w:lineRule="exact"/>
        <w:widowControl w:val="off"/>
        <w:rPr>
          <w:rFonts w:hint="eastAsia" w:ascii="仿宋" w:hAnsi="仿宋" w:eastAsia="仿宋" w:cs="仿宋"/>
          <w:bCs/>
          <w:i/>
          <w:color w:val="auto"/>
          <w:sz w:val="24"/>
          <w:szCs w:val="24"/>
          <w:highlight w:val="none"/>
          <w:u w:val="single"/>
        </w:rPr>
      </w:pPr>
      <w:r>
        <w:rPr>
          <w:rFonts w:hint="eastAsia" w:ascii="仿宋" w:hAnsi="仿宋" w:eastAsia="仿宋" w:cs="仿宋"/>
          <w:bCs/>
          <w:color w:val="auto"/>
          <w:sz w:val="24"/>
          <w:szCs w:val="24"/>
          <w:highlight w:val="none"/>
        </w:rPr>
        <w:t xml:space="preserve">26.1.7 投标文件出现重大偏离，不符合招标文件中规定的实质性要求的（★部分为实质性要求）。</w:t>
      </w:r>
      <w:r/>
    </w:p>
    <w:p>
      <w:pPr>
        <w:ind w:left="0" w:firstLine="480"/>
        <w:pageBreakBefore w:val="0"/>
        <w:spacing w:line="560" w:lineRule="exact"/>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26.1.8 评标委员会启动异常低价投标审查后，投标人不提供书面说明、证明材料，或者评标委员会认为投标人提供的书面说明、证明材料不能证明其报价合理性的，</w:t>
      </w:r>
      <w:r>
        <w:rPr>
          <w:rFonts w:hint="eastAsia" w:ascii="仿宋" w:hAnsi="仿宋" w:eastAsia="仿宋" w:cs="仿宋"/>
          <w:bCs/>
          <w:color w:val="auto"/>
          <w:sz w:val="24"/>
          <w:szCs w:val="24"/>
          <w:highlight w:val="none"/>
          <w:lang w:eastAsia="zh-CN"/>
        </w:rPr>
        <w:t xml:space="preserve">评标委员会</w:t>
      </w:r>
      <w:r>
        <w:rPr>
          <w:rFonts w:hint="eastAsia" w:ascii="仿宋" w:hAnsi="仿宋" w:eastAsia="仿宋" w:cs="仿宋"/>
          <w:bCs/>
          <w:color w:val="auto"/>
          <w:sz w:val="24"/>
          <w:szCs w:val="24"/>
          <w:highlight w:val="none"/>
        </w:rPr>
        <w:t xml:space="preserve">应当将其作为无效投标处理</w:t>
      </w:r>
      <w:r>
        <w:rPr>
          <w:rFonts w:hint="eastAsia" w:ascii="仿宋" w:hAnsi="仿宋" w:eastAsia="仿宋" w:cs="仿宋"/>
          <w:bCs/>
          <w:color w:val="auto"/>
          <w:sz w:val="24"/>
          <w:szCs w:val="24"/>
          <w:highlight w:val="none"/>
          <w:lang w:eastAsia="zh-CN"/>
        </w:rPr>
        <w:t xml:space="preserve">。</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w:t>
      </w:r>
      <w:r>
        <w:rPr>
          <w:rFonts w:hint="eastAsia" w:ascii="仿宋" w:hAnsi="仿宋" w:eastAsia="仿宋" w:cs="仿宋"/>
          <w:bCs/>
          <w:color w:val="auto"/>
          <w:sz w:val="24"/>
          <w:szCs w:val="24"/>
          <w:highlight w:val="none"/>
          <w:lang w:val="en-US" w:eastAsia="zh-CN"/>
        </w:rPr>
        <w:t xml:space="preserve">10</w:t>
      </w:r>
      <w:r>
        <w:rPr>
          <w:rFonts w:hint="eastAsia" w:ascii="仿宋" w:hAnsi="仿宋" w:eastAsia="仿宋" w:cs="仿宋"/>
          <w:bCs/>
          <w:color w:val="auto"/>
          <w:sz w:val="24"/>
          <w:szCs w:val="24"/>
          <w:highlight w:val="none"/>
        </w:rPr>
        <w:t xml:space="preserve"> 投标文件含有采购人不能接受的附加条件的。</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26.1.11本项目采购产品被财政部、国家发改委、生态环境部等列入“节能产品品目清单”、“环境标志产品品目清单”强制采购范围，而</w:t>
      </w:r>
      <w:r>
        <w:rPr>
          <w:rFonts w:hint="eastAsia" w:ascii="仿宋" w:hAnsi="仿宋" w:eastAsia="仿宋" w:cs="仿宋"/>
          <w:color w:val="auto"/>
          <w:sz w:val="24"/>
          <w:szCs w:val="24"/>
          <w:highlight w:val="none"/>
        </w:rPr>
        <w:t xml:space="preserve">投标</w:t>
      </w:r>
      <w:r>
        <w:rPr>
          <w:rFonts w:hint="eastAsia" w:ascii="仿宋" w:hAnsi="仿宋" w:eastAsia="仿宋" w:cs="仿宋"/>
          <w:color w:val="auto"/>
          <w:sz w:val="24"/>
          <w:szCs w:val="24"/>
          <w:highlight w:val="none"/>
          <w:lang w:val="zh-CN"/>
        </w:rPr>
        <w:t xml:space="preserve">人所</w:t>
      </w:r>
      <w:r>
        <w:rPr>
          <w:rFonts w:hint="eastAsia" w:ascii="仿宋" w:hAnsi="仿宋" w:eastAsia="仿宋" w:cs="仿宋"/>
          <w:color w:val="auto"/>
          <w:sz w:val="24"/>
          <w:szCs w:val="24"/>
          <w:highlight w:val="none"/>
        </w:rPr>
        <w:t xml:space="preserve">投</w:t>
      </w:r>
      <w:r>
        <w:rPr>
          <w:rFonts w:hint="eastAsia" w:ascii="仿宋" w:hAnsi="仿宋" w:eastAsia="仿宋" w:cs="仿宋"/>
          <w:color w:val="auto"/>
          <w:sz w:val="24"/>
          <w:szCs w:val="24"/>
          <w:highlight w:val="none"/>
          <w:lang w:val="zh-CN"/>
        </w:rPr>
        <w:t xml:space="preserve">产品不在强制采购范围内的。（所</w:t>
      </w:r>
      <w:r>
        <w:rPr>
          <w:rFonts w:hint="eastAsia" w:ascii="仿宋" w:hAnsi="仿宋" w:eastAsia="仿宋" w:cs="仿宋"/>
          <w:color w:val="auto"/>
          <w:sz w:val="24"/>
          <w:szCs w:val="24"/>
          <w:highlight w:val="none"/>
        </w:rPr>
        <w:t xml:space="preserve">投</w:t>
      </w:r>
      <w:r>
        <w:rPr>
          <w:rFonts w:hint="eastAsia" w:ascii="仿宋" w:hAnsi="仿宋" w:eastAsia="仿宋" w:cs="仿宋"/>
          <w:color w:val="auto"/>
          <w:sz w:val="24"/>
          <w:szCs w:val="24"/>
          <w:highlight w:val="none"/>
          <w:lang w:val="zh-CN"/>
        </w:rPr>
        <w:t xml:space="preserve">产品如属于政府强制采购节能产品品目清单范围内，</w:t>
      </w:r>
      <w:r>
        <w:rPr>
          <w:rFonts w:hint="eastAsia" w:ascii="仿宋" w:hAnsi="仿宋" w:eastAsia="仿宋" w:cs="仿宋"/>
          <w:color w:val="auto"/>
          <w:sz w:val="24"/>
          <w:szCs w:val="24"/>
          <w:highlight w:val="none"/>
        </w:rPr>
        <w:t xml:space="preserve">投标</w:t>
      </w:r>
      <w:r>
        <w:rPr>
          <w:rFonts w:hint="eastAsia" w:ascii="仿宋" w:hAnsi="仿宋" w:eastAsia="仿宋" w:cs="仿宋"/>
          <w:color w:val="auto"/>
          <w:sz w:val="24"/>
          <w:szCs w:val="24"/>
          <w:highlight w:val="none"/>
          <w:lang w:val="zh-CN"/>
        </w:rPr>
        <w:t xml:space="preserve">文件中必须提供国家确定的认证机构出具的、处于有效期之内的该节能产品认证证书图片）。</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26.1.12 投标文件未按照招标文件要求加盖CA电子公章的。</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26.1.13 投标人有本招标文件规定的恶意串通投标情形的。</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26.1.1</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 其他法律、法规及本招标文件规定的属无效投标的情形。</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26.2 废标条款</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26.2.1符合专业条件的投标人或者对招标文件作实质响应的投标人不足三家的。</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26.2.2 出现影响采购公正的违法、违规行为的。</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26.2.3 因重大变故，采购任务取消的。</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26.2.4 </w:t>
      </w:r>
      <w:r>
        <w:rPr>
          <w:rFonts w:hint="eastAsia" w:ascii="仿宋" w:hAnsi="仿宋" w:eastAsia="仿宋" w:cs="仿宋"/>
          <w:bCs/>
          <w:color w:val="auto"/>
          <w:sz w:val="24"/>
          <w:szCs w:val="24"/>
          <w:highlight w:val="none"/>
          <w:lang w:eastAsia="zh-CN"/>
        </w:rPr>
        <w:t xml:space="preserve">评标委员会</w:t>
      </w:r>
      <w:r>
        <w:rPr>
          <w:rFonts w:hint="eastAsia" w:ascii="仿宋" w:hAnsi="仿宋" w:eastAsia="仿宋" w:cs="仿宋"/>
          <w:bCs/>
          <w:color w:val="auto"/>
          <w:sz w:val="24"/>
          <w:szCs w:val="24"/>
          <w:highlight w:val="none"/>
        </w:rPr>
        <w:t xml:space="preserve">认定招标文件存在歧义、重大缺陷导致评审工作无法进行。</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26.2.5 因</w:t>
      </w:r>
      <w:r>
        <w:rPr>
          <w:rFonts w:hint="eastAsia" w:ascii="仿宋" w:hAnsi="仿宋" w:eastAsia="仿宋" w:cs="仿宋"/>
          <w:color w:val="auto"/>
          <w:sz w:val="24"/>
          <w:szCs w:val="24"/>
          <w:highlight w:val="none"/>
        </w:rPr>
        <w:t xml:space="preserve">“苏采云”</w:t>
      </w:r>
      <w:r>
        <w:rPr>
          <w:rFonts w:hint="eastAsia" w:ascii="仿宋" w:hAnsi="仿宋" w:eastAsia="仿宋" w:cs="仿宋"/>
          <w:color w:val="auto"/>
          <w:sz w:val="24"/>
          <w:szCs w:val="24"/>
          <w:highlight w:val="none"/>
          <w:lang w:eastAsia="zh-CN"/>
        </w:rPr>
        <w:t xml:space="preserve">系统故障</w:t>
      </w:r>
      <w:r>
        <w:rPr>
          <w:rFonts w:hint="eastAsia" w:ascii="仿宋" w:hAnsi="仿宋" w:eastAsia="仿宋" w:cs="仿宋"/>
          <w:bCs/>
          <w:color w:val="auto"/>
          <w:sz w:val="24"/>
          <w:szCs w:val="24"/>
          <w:highlight w:val="none"/>
        </w:rPr>
        <w:t xml:space="preserve">原因造成开标不成功的。</w:t>
      </w:r>
      <w:r/>
    </w:p>
    <w:p>
      <w:pPr>
        <w:ind w:left="0" w:firstLine="480"/>
        <w:pageBreakBefore w:val="0"/>
        <w:spacing w:line="560" w:lineRule="exact"/>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26.2.</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 在“苏采云”系统规定时间内成功解密电子投标文件的投标人不足3家的</w:t>
      </w:r>
      <w:r>
        <w:rPr>
          <w:rFonts w:hint="eastAsia" w:ascii="仿宋" w:hAnsi="仿宋" w:eastAsia="仿宋" w:cs="仿宋"/>
          <w:bCs/>
          <w:color w:val="auto"/>
          <w:sz w:val="24"/>
          <w:szCs w:val="24"/>
          <w:highlight w:val="none"/>
          <w:lang w:eastAsia="zh-CN"/>
        </w:rPr>
        <w:t xml:space="preserve">。</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26.3 投标截止时间结束后参加投标的投标人不足三家的处理：</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26.3.1投标截止后投标人不足3家或者通过资格审查或符合性审查的投标人不足3家的，除采购任务取消情形外，按财政部令第87号第四十三条条款进行处理。</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 串通投标情形</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有下列情形之一的，属于恶意串通投标：</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.1供应商直接或间接从采购人或采购代理机构处获得其他供应商的投标情况，并修改其投标文件；</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.2评审活动开始前供应商直接或间接从采购人或采购代理机构处获得评标委员会组成人员情况；</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.3供应商接受采购人或采购代理机构授意撤换、修改投标文件；</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.4供应商之间协商投标报价、技术方案等投标文件实质性内容；</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.5属于同一集团、协会、商会等组织成员的供应商按照该组织要求协同投标；</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.6供应商之间事先约定由某一特定供应商中标、成交；</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.7供应商之间商定部分供应商放弃投标或者放弃中标、成交；</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.8供应商与采购人或采购代理机构之间、供应商相互之间为谋求特定供应商中标成交或者排斥其他供应商的其他串通行为。</w:t>
      </w:r>
      <w:r/>
    </w:p>
    <w:p>
      <w:pPr>
        <w:pStyle w:val="924"/>
        <w:ind w:left="0" w:firstLine="482"/>
        <w:pageBreakBefore w:val="0"/>
        <w:spacing w:before="0" w:after="0" w:line="560" w:lineRule="exact"/>
        <w:widowControl w:val="off"/>
        <w:rPr>
          <w:rFonts w:hint="eastAsia" w:ascii="仿宋" w:hAnsi="仿宋" w:eastAsia="仿宋" w:cs="仿宋"/>
          <w:color w:val="auto"/>
          <w:sz w:val="24"/>
          <w:szCs w:val="24"/>
          <w:highlight w:val="none"/>
        </w:rPr>
      </w:pPr>
      <w:r/>
      <w:bookmarkStart w:id="171" w:name="_Toc120614219"/>
      <w:r>
        <w:rPr>
          <w:rFonts w:hint="eastAsia" w:ascii="仿宋" w:hAnsi="仿宋" w:eastAsia="仿宋" w:cs="仿宋"/>
          <w:color w:val="auto"/>
          <w:sz w:val="24"/>
          <w:szCs w:val="24"/>
          <w:highlight w:val="none"/>
        </w:rPr>
        <w:t xml:space="preserve">六、</w:t>
      </w:r>
      <w:bookmarkEnd w:id="168"/>
      <w:r/>
      <w:bookmarkEnd w:id="169"/>
      <w:r/>
      <w:bookmarkEnd w:id="170"/>
      <w:r>
        <w:rPr>
          <w:rFonts w:hint="eastAsia" w:ascii="仿宋" w:hAnsi="仿宋" w:eastAsia="仿宋" w:cs="仿宋"/>
          <w:color w:val="auto"/>
          <w:sz w:val="24"/>
          <w:szCs w:val="24"/>
          <w:highlight w:val="none"/>
        </w:rPr>
        <w:t xml:space="preserve">定标</w:t>
      </w:r>
      <w:bookmarkEnd w:id="171"/>
      <w:r/>
      <w:r/>
    </w:p>
    <w:p>
      <w:pPr>
        <w:pStyle w:val="928"/>
        <w:ind w:left="0" w:firstLine="480"/>
        <w:pageBreakBefore w:val="0"/>
        <w:spacing w:before="0" w:after="0" w:line="560" w:lineRule="exact"/>
        <w:widowControl w:val="off"/>
        <w:rPr>
          <w:rFonts w:hint="eastAsia" w:ascii="仿宋" w:hAnsi="仿宋" w:eastAsia="仿宋" w:cs="仿宋"/>
          <w:b w:val="0"/>
          <w:color w:val="auto"/>
          <w:sz w:val="24"/>
          <w:szCs w:val="24"/>
          <w:highlight w:val="none"/>
        </w:rPr>
      </w:pPr>
      <w:r/>
      <w:bookmarkStart w:id="172" w:name="_Toc513029238"/>
      <w:r/>
      <w:bookmarkStart w:id="173" w:name="_Toc20823310"/>
      <w:r/>
      <w:bookmarkStart w:id="174" w:name="_Toc16938554"/>
      <w:r>
        <w:rPr>
          <w:rFonts w:hint="eastAsia" w:ascii="仿宋" w:hAnsi="仿宋" w:eastAsia="仿宋" w:cs="仿宋"/>
          <w:b w:val="0"/>
          <w:color w:val="auto"/>
          <w:sz w:val="24"/>
          <w:szCs w:val="24"/>
          <w:highlight w:val="none"/>
        </w:rPr>
        <w:t xml:space="preserve">27、</w:t>
      </w:r>
      <w:bookmarkEnd w:id="172"/>
      <w:r>
        <w:rPr>
          <w:rFonts w:hint="eastAsia" w:ascii="仿宋" w:hAnsi="仿宋" w:eastAsia="仿宋" w:cs="仿宋"/>
          <w:b w:val="0"/>
          <w:color w:val="auto"/>
          <w:sz w:val="24"/>
          <w:szCs w:val="24"/>
          <w:highlight w:val="none"/>
        </w:rPr>
        <w:t xml:space="preserve">确定</w:t>
      </w:r>
      <w:bookmarkEnd w:id="173"/>
      <w:r/>
      <w:bookmarkEnd w:id="174"/>
      <w:r>
        <w:rPr>
          <w:rFonts w:hint="eastAsia" w:ascii="仿宋" w:hAnsi="仿宋" w:eastAsia="仿宋" w:cs="仿宋"/>
          <w:b w:val="0"/>
          <w:color w:val="auto"/>
          <w:sz w:val="24"/>
          <w:szCs w:val="24"/>
          <w:highlight w:val="none"/>
        </w:rPr>
        <w:t xml:space="preserve">中标单位</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27.1 中标候选人的选取原则和数量见招标文件第五章规定。</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27.2 按以下第</w:t>
      </w:r>
      <w:r>
        <w:rPr>
          <w:rFonts w:hint="eastAsia" w:ascii="仿宋" w:hAnsi="仿宋" w:eastAsia="仿宋" w:cs="仿宋"/>
          <w:bCs/>
          <w:color w:val="auto"/>
          <w:sz w:val="24"/>
          <w:szCs w:val="24"/>
          <w:highlight w:val="none"/>
          <w:u w:val="single"/>
          <w:lang w:val="zh-CN"/>
        </w:rPr>
        <w:t xml:space="preserve">（</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2 </w:t>
      </w:r>
      <w:r>
        <w:rPr>
          <w:rFonts w:hint="eastAsia" w:ascii="仿宋" w:hAnsi="仿宋" w:eastAsia="仿宋" w:cs="仿宋"/>
          <w:bCs/>
          <w:color w:val="auto"/>
          <w:sz w:val="24"/>
          <w:szCs w:val="24"/>
          <w:highlight w:val="none"/>
          <w:u w:val="single"/>
          <w:lang w:val="zh-CN"/>
        </w:rPr>
        <w:t xml:space="preserve">）</w:t>
      </w:r>
      <w:r>
        <w:rPr>
          <w:rFonts w:hint="eastAsia" w:ascii="仿宋" w:hAnsi="仿宋" w:eastAsia="仿宋" w:cs="仿宋"/>
          <w:bCs/>
          <w:color w:val="auto"/>
          <w:sz w:val="24"/>
          <w:szCs w:val="24"/>
          <w:highlight w:val="none"/>
          <w:lang w:val="zh-CN"/>
        </w:rPr>
        <w:t xml:space="preserve">种方式确定中标人</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（1）评标委员会直接确定排名第一的中标候选人为中标人；</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（2）采购人在评标委员会推荐的中标候选人中按顺序确定中标人。</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zh-CN"/>
        </w:rPr>
        <w:t xml:space="preserve">按第</w:t>
      </w: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zh-CN"/>
        </w:rPr>
        <w:t xml:space="preserve">种方式确定中标人的，</w:t>
      </w:r>
      <w:r>
        <w:rPr>
          <w:rFonts w:hint="eastAsia" w:ascii="仿宋" w:hAnsi="仿宋" w:eastAsia="仿宋" w:cs="仿宋"/>
          <w:bCs/>
          <w:color w:val="auto"/>
          <w:sz w:val="24"/>
          <w:szCs w:val="24"/>
          <w:highlight w:val="none"/>
        </w:rPr>
        <w:t xml:space="preserve">采购代理机构</w:t>
      </w:r>
      <w:r>
        <w:rPr>
          <w:rFonts w:hint="eastAsia" w:ascii="仿宋" w:hAnsi="仿宋" w:eastAsia="仿宋" w:cs="仿宋"/>
          <w:bCs/>
          <w:color w:val="auto"/>
          <w:sz w:val="24"/>
          <w:szCs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27.3中标人确定之日起2个工作日内，采购人、采购代理机构将发布中标结果，中标公告的公告期限为1个工作日</w:t>
      </w:r>
      <w:r>
        <w:rPr>
          <w:rFonts w:hint="eastAsia" w:ascii="仿宋" w:hAnsi="仿宋" w:eastAsia="仿宋" w:cs="仿宋"/>
          <w:color w:val="auto"/>
          <w:sz w:val="24"/>
          <w:szCs w:val="24"/>
          <w:highlight w:val="none"/>
        </w:rPr>
        <w:t xml:space="preserve">。</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采购人确定正被列为失信被执行人的投标人为中标人的，中标结果无效。</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27.4若有充分证据证明，中标人出现下列情况之一的，一经查实，将被取消中标资格：</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27.4.1 提供虚假材料谋取中标的。</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27.4.2 向采购人、采购代理机构行贿或者提供其他不正当利益的。</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27.4.3 属于本文件规定的无效条件，但在评标过程中又未被</w:t>
      </w:r>
      <w:r>
        <w:rPr>
          <w:rFonts w:hint="eastAsia" w:ascii="仿宋" w:hAnsi="仿宋" w:eastAsia="仿宋" w:cs="仿宋"/>
          <w:color w:val="auto"/>
          <w:sz w:val="24"/>
          <w:szCs w:val="24"/>
          <w:highlight w:val="none"/>
          <w:lang w:eastAsia="zh-CN"/>
        </w:rPr>
        <w:t xml:space="preserve">评标委员会</w:t>
      </w:r>
      <w:r>
        <w:rPr>
          <w:rFonts w:hint="eastAsia" w:ascii="仿宋" w:hAnsi="仿宋" w:eastAsia="仿宋" w:cs="仿宋"/>
          <w:color w:val="auto"/>
          <w:sz w:val="24"/>
          <w:szCs w:val="24"/>
          <w:highlight w:val="none"/>
        </w:rPr>
        <w:t xml:space="preserve">发现的。</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27.4.4 与采购人或者其他投标人恶意串通的。</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27.4.5 采取不正当手段诋毁、排挤其他投标人的。</w:t>
      </w:r>
      <w:r/>
    </w:p>
    <w:p>
      <w:pPr>
        <w:ind w:left="0" w:firstLine="480"/>
        <w:pageBreakBefore w:val="0"/>
        <w:spacing w:line="560" w:lineRule="exact"/>
        <w:widowControl w:val="off"/>
        <w:rPr>
          <w:rFonts w:hint="eastAsia" w:ascii="仿宋" w:hAnsi="仿宋" w:eastAsia="仿宋" w:cs="仿宋"/>
          <w:color w:val="auto"/>
          <w:sz w:val="24"/>
          <w:szCs w:val="24"/>
          <w:highlight w:val="none"/>
        </w:rPr>
      </w:pPr>
      <w:r/>
      <w:bookmarkStart w:id="175" w:name="_Toc200451960"/>
      <w:r>
        <w:rPr>
          <w:rFonts w:hint="eastAsia" w:ascii="仿宋" w:hAnsi="仿宋" w:eastAsia="仿宋" w:cs="仿宋"/>
          <w:color w:val="auto"/>
          <w:sz w:val="24"/>
          <w:szCs w:val="24"/>
          <w:highlight w:val="none"/>
        </w:rPr>
        <w:t xml:space="preserve">27.5 有下列情形之一的，视为投标人串通投标，投标无效：</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27.5.1 不同投标人的投标文件由同一单位或者个人编制。</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27.5.2 不同投标人委托同一单位或者个人办理投标事宜。</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27.5.3 不同投标人的投标文件载明的项目管理成员或者联系人员为同一人。</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27.5.4 不同投标人的投标文件异常一致或者投标报价呈规律性差异。</w:t>
      </w:r>
      <w:r/>
    </w:p>
    <w:p>
      <w:pPr>
        <w:pStyle w:val="928"/>
        <w:ind w:left="0" w:firstLine="480"/>
        <w:pageBreakBefore w:val="0"/>
        <w:spacing w:before="0" w:after="0" w:line="560" w:lineRule="exact"/>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28、质疑处理</w:t>
      </w:r>
      <w:bookmarkEnd w:id="175"/>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28.1提出质疑的投标人应当是参与所质疑项目采购活动的投标人。潜在投标人依法获取其可质疑的采购文件的，可以对采购文件提出质疑。</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28.2投标人认为采购文件、采购过程和采购结果使自己的权益受到损害的，可以在知道或应知其权益受到损害之日起七个工作日内，</w:t>
      </w:r>
      <w:bookmarkStart w:id="176" w:name="OLE_LINK2"/>
      <w:r>
        <w:rPr>
          <w:rFonts w:hint="eastAsia" w:ascii="仿宋" w:hAnsi="仿宋" w:eastAsia="仿宋" w:cs="仿宋"/>
          <w:b/>
          <w:bCs/>
          <w:color w:val="auto"/>
          <w:sz w:val="24"/>
          <w:highlight w:val="none"/>
        </w:rPr>
        <w:t xml:space="preserve">登录“苏采云”系统，从“项目质疑申请”模块向采购人提出质疑</w:t>
      </w:r>
      <w:bookmarkEnd w:id="176"/>
      <w:r>
        <w:rPr>
          <w:rFonts w:hint="eastAsia" w:ascii="仿宋" w:hAnsi="仿宋" w:eastAsia="仿宋" w:cs="仿宋"/>
          <w:b/>
          <w:bCs/>
          <w:color w:val="auto"/>
          <w:sz w:val="24"/>
          <w:highlight w:val="none"/>
        </w:rPr>
        <w:t xml:space="preserve">。</w:t>
      </w:r>
      <w:r>
        <w:rPr>
          <w:rFonts w:hint="eastAsia" w:ascii="仿宋" w:hAnsi="仿宋" w:eastAsia="仿宋" w:cs="仿宋"/>
          <w:color w:val="auto"/>
          <w:sz w:val="24"/>
          <w:szCs w:val="24"/>
          <w:highlight w:val="none"/>
        </w:rPr>
        <w:t xml:space="preserve">根据下述28.4条款的规定向采购代理机构或采购人提出质疑。上述应知其权益受到损害之日，是指：</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28.2.1对可以质疑的采购文件提出质疑的，为收到采购文件之日或者采购文件公告期限届满之日；</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28.2.2 对采购过程提出质疑的，为各采购程序环节结束之日；</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28.2.3对中标结果提出质疑的，为中标结果公告期限届满之日。</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28.3质疑函必须按照本招标文件中《质疑函范本》要求的格式和内容进行填写。质疑函的必备内容：</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（1）供应商的姓名或者名称、地址、邮编、联系人及联系电话；</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（2）质疑项目的名称、编号；</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（3）获取采购文件的时间；</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（4）具体、明确的质疑事项和质疑事项相关的请求；</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（5）事实依据；</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（6）必要的法律依据；</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（7）提出质疑的日期；</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（8）供应商为自然人的，由本人签字；供应商为法人或者其他组织的，应当由法定代表人、主要负责人，或者其授权代表签字或者盖章，并加盖公章；</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投标人如组成联合体参加投标，则《质疑函范本》中要求签字、盖章、加盖公章之处，联合体各方均须按要求签字、盖章、加盖公章。</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28.4投标人应登录“苏采云”系统，从“项目质疑申请”模块向采购人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采购代理机构</w:t>
      </w:r>
      <w:r>
        <w:rPr>
          <w:rFonts w:hint="eastAsia" w:ascii="仿宋" w:hAnsi="仿宋" w:eastAsia="仿宋" w:cs="仿宋"/>
          <w:color w:val="auto"/>
          <w:sz w:val="24"/>
          <w:szCs w:val="24"/>
          <w:highlight w:val="none"/>
        </w:rPr>
        <w:t xml:space="preserve">提出质疑</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rPr>
        <w:t xml:space="preserve">以书面形式向采购人或者其委托的采购代理机构提出质疑。质疑超出采购机构代理范围的，投标人应当向采购人提出。</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接收</w:t>
      </w:r>
      <w:r>
        <w:rPr>
          <w:rFonts w:hint="eastAsia" w:ascii="仿宋" w:hAnsi="仿宋" w:eastAsia="仿宋" w:cs="仿宋"/>
          <w:color w:val="auto"/>
          <w:sz w:val="24"/>
          <w:szCs w:val="24"/>
          <w:highlight w:val="none"/>
          <w:lang w:eastAsia="zh-CN"/>
        </w:rPr>
        <w:t xml:space="preserve">纸质</w:t>
      </w:r>
      <w:r>
        <w:rPr>
          <w:rFonts w:hint="eastAsia" w:ascii="仿宋" w:hAnsi="仿宋" w:eastAsia="仿宋" w:cs="仿宋"/>
          <w:color w:val="auto"/>
          <w:sz w:val="24"/>
          <w:szCs w:val="24"/>
          <w:highlight w:val="none"/>
        </w:rPr>
        <w:t xml:space="preserve">质疑函的方式：将质疑函以书面形式由法定代表人或法人授权代表邮寄或现场送达采购人或委托的采购代理机构。</w:t>
      </w:r>
      <w:r/>
    </w:p>
    <w:p>
      <w:pPr>
        <w:ind w:left="0" w:firstLine="48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联系部门：</w:t>
      </w:r>
      <w:r>
        <w:rPr>
          <w:rFonts w:hint="eastAsia" w:ascii="仿宋" w:hAnsi="仿宋" w:eastAsia="仿宋" w:cs="仿宋"/>
          <w:color w:val="auto"/>
          <w:sz w:val="24"/>
          <w:szCs w:val="24"/>
          <w:highlight w:val="none"/>
          <w:u w:val="single"/>
          <w:lang w:eastAsia="zh-CN"/>
        </w:rPr>
        <w:t xml:space="preserve">宿迁市医疗保障局</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lang w:eastAsia="zh-CN"/>
        </w:rPr>
        <w:t xml:space="preserve">宿迁市宏晟项目管理有限公司</w:t>
      </w:r>
      <w:r>
        <w:rPr>
          <w:rFonts w:hint="eastAsia" w:ascii="仿宋" w:hAnsi="仿宋" w:eastAsia="仿宋" w:cs="仿宋"/>
          <w:color w:val="auto"/>
          <w:sz w:val="24"/>
          <w:szCs w:val="24"/>
          <w:highlight w:val="none"/>
          <w:u w:val="single"/>
        </w:rPr>
        <w:t xml:space="preserve"> </w:t>
      </w:r>
      <w:r/>
    </w:p>
    <w:p>
      <w:pPr>
        <w:ind w:left="0" w:firstLine="48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lang w:val="en-US" w:eastAsia="zh-CN"/>
        </w:rPr>
      </w:r>
      <w:r>
        <w:rPr>
          <w:rFonts w:hint="eastAsia" w:ascii="仿宋" w:hAnsi="仿宋" w:eastAsia="仿宋" w:cs="仿宋"/>
          <w:color w:val="auto"/>
          <w:sz w:val="24"/>
          <w:szCs w:val="24"/>
          <w:highlight w:val="none"/>
          <w:u w:val="single"/>
          <w:lang w:val="en-US" w:eastAsia="zh-CN"/>
        </w:rPr>
        <w:t xml:space="preserve">13805249858</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lang w:eastAsia="zh-CN"/>
        </w:rPr>
        <w:t xml:space="preserve">18951361116</w:t>
      </w:r>
      <w:r>
        <w:rPr>
          <w:rFonts w:hint="eastAsia" w:ascii="仿宋" w:hAnsi="仿宋" w:eastAsia="仿宋" w:cs="仿宋"/>
          <w:color w:val="auto"/>
          <w:sz w:val="24"/>
          <w:szCs w:val="24"/>
          <w:highlight w:val="none"/>
          <w:u w:val="single"/>
        </w:rPr>
        <w:t xml:space="preserve"> </w:t>
      </w:r>
      <w:r/>
    </w:p>
    <w:p>
      <w:pPr>
        <w:ind w:left="0" w:firstLine="48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通讯地址</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single"/>
          <w:lang w:eastAsia="zh-CN"/>
        </w:rPr>
        <w:t xml:space="preserve">宿迁市洪泽湖路889号便民方舟1号楼</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lang w:eastAsia="zh-CN"/>
        </w:rPr>
        <w:t xml:space="preserve">宿迁市宿城区霸王举鼎广场浙江大厦（开元颐居酒店旁）11楼1113室</w:t>
      </w:r>
      <w:r>
        <w:rPr>
          <w:rFonts w:hint="eastAsia" w:ascii="仿宋" w:hAnsi="仿宋" w:eastAsia="仿宋" w:cs="仿宋"/>
          <w:color w:val="auto"/>
          <w:sz w:val="24"/>
          <w:szCs w:val="24"/>
          <w:highlight w:val="none"/>
          <w:u w:val="single"/>
        </w:rPr>
        <w:t xml:space="preserve"> </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 以下情形的质疑不予受理</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28.5.1 内容不符合《政府采购质疑和投诉办法》第十二条规定的质疑。</w:t>
      </w:r>
      <w:r/>
    </w:p>
    <w:p>
      <w:pPr>
        <w:ind w:left="0" w:firstLine="48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28.5.2 超出政府采购法定期限的质疑。</w:t>
      </w:r>
      <w:r>
        <w:rPr>
          <w:rFonts w:hint="eastAsia" w:ascii="仿宋" w:hAnsi="仿宋" w:eastAsia="仿宋" w:cs="仿宋"/>
          <w:color w:val="auto"/>
          <w:sz w:val="24"/>
          <w:szCs w:val="24"/>
          <w:highlight w:val="none"/>
          <w:lang w:val="en-US" w:eastAsia="zh-CN"/>
        </w:rPr>
        <w:t xml:space="preserve"> </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28.5.3 以传真、电子邮件等方式递交的非原件形式的质疑。</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28.5.4未参加投标活动的投标人或在投标活动中自身权益未受到损害的投标人所提出的质疑。</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28.5.5投标人组成联合体参加投标，联合体中任何一方或多方未按要求签字、盖章、加盖公章的质疑。</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28.7质疑</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对采购人、采购代理机构的答复不满意，或者采购人、采购代理机构未在规定时间内作出答复的，可以在答复期满后15个工作日内向同级财政部门提起投诉。</w:t>
      </w:r>
      <w:r/>
    </w:p>
    <w:p>
      <w:pPr>
        <w:pStyle w:val="928"/>
        <w:ind w:left="0" w:firstLine="480"/>
        <w:pageBreakBefore w:val="0"/>
        <w:spacing w:before="0" w:after="0" w:line="560" w:lineRule="exact"/>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29、中标通知书</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29.l在公告中标结果的同时，采购代理机构将向中标人发出中标通知书。中标人使用CA数字证书登录“苏采云”系统及时下载中标通知书。</w:t>
      </w:r>
      <w:r>
        <w:rPr>
          <w:rFonts w:hint="eastAsia" w:ascii="仿宋" w:hAnsi="仿宋" w:eastAsia="仿宋" w:cs="仿宋"/>
          <w:color w:val="auto"/>
          <w:sz w:val="24"/>
          <w:szCs w:val="24"/>
          <w:highlight w:val="none"/>
          <w:lang w:eastAsia="zh-CN"/>
        </w:rPr>
        <w:t xml:space="preserve">中标人</w:t>
      </w:r>
      <w:r>
        <w:rPr>
          <w:rFonts w:hint="eastAsia" w:ascii="仿宋" w:hAnsi="仿宋" w:eastAsia="仿宋" w:cs="仿宋"/>
          <w:color w:val="auto"/>
          <w:sz w:val="24"/>
          <w:szCs w:val="24"/>
          <w:highlight w:val="none"/>
        </w:rPr>
        <w:t xml:space="preserve">可自行下载打印《中标通知书》，《中标通知书》将作为授予合同资格的唯一合法依据。</w:t>
      </w:r>
      <w:r/>
    </w:p>
    <w:p>
      <w:pPr>
        <w:ind w:left="0" w:firstLine="480"/>
        <w:pageBreakBefore w:val="0"/>
        <w:spacing w:line="56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仿宋" w:hAnsi="仿宋" w:eastAsia="仿宋" w:cs="仿宋"/>
          <w:color w:val="auto"/>
          <w:sz w:val="24"/>
          <w:szCs w:val="24"/>
          <w:highlight w:val="none"/>
          <w:lang w:eastAsia="zh-CN"/>
        </w:rPr>
        <w:t xml:space="preserve">。</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w:t>
      </w:r>
      <w:r>
        <w:rPr>
          <w:rFonts w:hint="eastAsia" w:ascii="仿宋" w:hAnsi="仿宋" w:eastAsia="仿宋" w:cs="仿宋"/>
          <w:color w:val="auto"/>
          <w:sz w:val="24"/>
          <w:szCs w:val="24"/>
          <w:highlight w:val="none"/>
          <w:lang w:val="en-US" w:eastAsia="zh-CN"/>
        </w:rPr>
        <w:t xml:space="preserve">3采用综合评分法评审的，未中标人可于中标结果公告期限届满之日起通过“苏采云”系统查看自己的评审得分及排序情况</w:t>
      </w:r>
      <w:r>
        <w:rPr>
          <w:rFonts w:hint="eastAsia" w:ascii="仿宋" w:hAnsi="仿宋" w:eastAsia="仿宋" w:cs="仿宋"/>
          <w:color w:val="auto"/>
          <w:sz w:val="24"/>
          <w:szCs w:val="24"/>
          <w:highlight w:val="none"/>
        </w:rPr>
        <w:t xml:space="preserve">。</w:t>
      </w:r>
      <w:r/>
    </w:p>
    <w:p>
      <w:pPr>
        <w:pStyle w:val="924"/>
        <w:ind w:left="0" w:firstLine="482"/>
        <w:pageBreakBefore w:val="0"/>
        <w:spacing w:before="0" w:after="0" w:line="560" w:lineRule="exact"/>
        <w:widowControl w:val="off"/>
        <w:rPr>
          <w:rFonts w:hint="eastAsia" w:ascii="仿宋" w:hAnsi="仿宋" w:eastAsia="仿宋" w:cs="仿宋"/>
          <w:color w:val="auto"/>
          <w:sz w:val="24"/>
          <w:szCs w:val="24"/>
          <w:highlight w:val="none"/>
        </w:rPr>
      </w:pPr>
      <w:r/>
      <w:bookmarkStart w:id="177" w:name="_Toc120614220"/>
      <w:r/>
      <w:bookmarkStart w:id="178" w:name="_Toc513029236"/>
      <w:r/>
      <w:bookmarkStart w:id="179" w:name="_Toc16938552"/>
      <w:r/>
      <w:bookmarkStart w:id="180" w:name="_Toc20823308"/>
      <w:r>
        <w:rPr>
          <w:rFonts w:hint="eastAsia" w:ascii="仿宋" w:hAnsi="仿宋" w:eastAsia="仿宋" w:cs="仿宋"/>
          <w:color w:val="auto"/>
          <w:sz w:val="24"/>
          <w:szCs w:val="24"/>
          <w:highlight w:val="none"/>
        </w:rPr>
        <w:t xml:space="preserve">七、授予合同</w:t>
      </w:r>
      <w:bookmarkEnd w:id="177"/>
      <w:r/>
      <w:bookmarkEnd w:id="178"/>
      <w:r/>
      <w:bookmarkEnd w:id="179"/>
      <w:r/>
      <w:bookmarkEnd w:id="180"/>
      <w:r/>
      <w:r/>
    </w:p>
    <w:p>
      <w:pPr>
        <w:pStyle w:val="928"/>
        <w:ind w:left="0" w:firstLine="480"/>
        <w:pageBreakBefore w:val="0"/>
        <w:spacing w:before="0" w:after="0" w:line="560" w:lineRule="exact"/>
        <w:widowControl w:val="off"/>
        <w:rPr>
          <w:rFonts w:hint="eastAsia" w:ascii="仿宋" w:hAnsi="仿宋" w:eastAsia="仿宋" w:cs="仿宋"/>
          <w:b w:val="0"/>
          <w:color w:val="auto"/>
          <w:sz w:val="24"/>
          <w:szCs w:val="24"/>
          <w:highlight w:val="none"/>
        </w:rPr>
      </w:pPr>
      <w:r/>
      <w:bookmarkStart w:id="181" w:name="_Toc513029237"/>
      <w:r/>
      <w:bookmarkStart w:id="182" w:name="_Toc20823309"/>
      <w:r/>
      <w:bookmarkStart w:id="183" w:name="_Toc16938553"/>
      <w:r>
        <w:rPr>
          <w:rFonts w:hint="eastAsia" w:ascii="仿宋" w:hAnsi="仿宋" w:eastAsia="仿宋" w:cs="仿宋"/>
          <w:b w:val="0"/>
          <w:color w:val="auto"/>
          <w:sz w:val="24"/>
          <w:szCs w:val="24"/>
          <w:highlight w:val="none"/>
        </w:rPr>
        <w:t xml:space="preserve">30.签订合同</w:t>
      </w:r>
      <w:r/>
    </w:p>
    <w:p>
      <w:pPr>
        <w:ind w:left="0" w:firstLine="480"/>
        <w:pageBreakBefore w:val="0"/>
        <w:spacing w:line="56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rPr>
        <w:t xml:space="preserve">30</w:t>
      </w:r>
      <w:r>
        <w:rPr>
          <w:rFonts w:hint="eastAsia" w:ascii="仿宋" w:hAnsi="仿宋" w:eastAsia="仿宋" w:cs="仿宋"/>
          <w:color w:val="auto"/>
          <w:sz w:val="24"/>
          <w:szCs w:val="24"/>
          <w:highlight w:val="none"/>
        </w:rPr>
        <w:t xml:space="preserve">.l</w:t>
      </w:r>
      <w:r>
        <w:rPr>
          <w:rFonts w:hint="eastAsia" w:ascii="仿宋" w:hAnsi="仿宋" w:eastAsia="仿宋" w:cs="仿宋"/>
          <w:color w:val="auto"/>
          <w:sz w:val="24"/>
          <w:szCs w:val="24"/>
          <w:highlight w:val="none"/>
          <w:lang w:eastAsia="zh-CN"/>
        </w:rPr>
        <w:t xml:space="preserve">合同签订方式：网上签订。</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color w:val="auto"/>
          <w:sz w:val="24"/>
          <w:szCs w:val="24"/>
          <w:highlight w:val="none"/>
        </w:rPr>
        <w:t xml:space="preserve">30.2采购人与中标人应当在中标通知书发出之日起15日内，按照招标文件确定的事项签订政府采购合同。采购人</w:t>
      </w:r>
      <w:r>
        <w:rPr>
          <w:rFonts w:hint="eastAsia" w:ascii="仿宋" w:hAnsi="仿宋" w:eastAsia="仿宋" w:cs="仿宋"/>
          <w:bCs/>
          <w:color w:val="auto"/>
          <w:sz w:val="24"/>
          <w:szCs w:val="24"/>
          <w:highlight w:val="none"/>
          <w:lang w:val="zh-CN"/>
        </w:rPr>
        <w:t xml:space="preserve">并在签订之日起2个工作日内将政府采购合同在指定的媒体上公告，但政府采购合同中涉及国家秘密、商业秘密的内容除外。</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30.3招标文件、中标人的投标文件及招标过程中有关澄清、承诺文件均应作为合同附件。</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本项目的非主体、非关键性工作是否允许分包按以下第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种方式确定：</w:t>
      </w:r>
      <w:r/>
    </w:p>
    <w:p>
      <w:pPr>
        <w:ind w:left="0" w:firstLine="48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1.允许分包，允许大中型企业向一家或者多家小微企业分包，分包具体内容</w:t>
      </w:r>
      <w:r>
        <w:rPr>
          <w:rFonts w:hint="eastAsia" w:ascii="仿宋" w:hAnsi="仿宋" w:eastAsia="仿宋" w:cs="仿宋"/>
          <w:color w:val="auto"/>
          <w:sz w:val="24"/>
          <w:szCs w:val="24"/>
          <w:highlight w:val="none"/>
          <w:lang w:eastAsia="zh-CN"/>
        </w:rPr>
        <w:t xml:space="preserve">主要为：提供风险减量</w:t>
      </w:r>
      <w:r>
        <w:rPr>
          <w:rFonts w:hint="eastAsia" w:ascii="仿宋" w:hAnsi="仿宋" w:eastAsia="仿宋" w:cs="仿宋"/>
          <w:color w:val="auto"/>
          <w:sz w:val="24"/>
          <w:szCs w:val="24"/>
          <w:highlight w:val="none"/>
          <w:lang w:val="en-US" w:eastAsia="zh-CN"/>
        </w:rPr>
        <w:t xml:space="preserve">相关</w:t>
      </w:r>
      <w:r>
        <w:rPr>
          <w:rFonts w:hint="eastAsia" w:ascii="仿宋" w:hAnsi="仿宋" w:eastAsia="仿宋" w:cs="仿宋"/>
          <w:color w:val="auto"/>
          <w:sz w:val="24"/>
          <w:szCs w:val="24"/>
          <w:highlight w:val="none"/>
          <w:lang w:eastAsia="zh-CN"/>
        </w:rPr>
        <w:t xml:space="preserve">服务。</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2.不允许分包。未经采购人同意，中标人也不得采用分包形式履行合同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否则采购人有权终止合同。转包或分包造成采购人损失的，中标人应承担相应赔偿责任。</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30.</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履约保证金</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按照以下第</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1</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lang w:val="zh-CN"/>
        </w:rPr>
        <w:t xml:space="preserve">方式确定履约保证收取方式。</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（1）本项目不收取履约保证金。</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（2）本项目收取履约保证金。</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30.</w:t>
      </w:r>
      <w:r>
        <w:rPr>
          <w:rFonts w:hint="eastAsia" w:ascii="仿宋" w:hAnsi="仿宋" w:eastAsia="仿宋" w:cs="仿宋"/>
          <w:bCs/>
          <w:color w:val="auto"/>
          <w:sz w:val="24"/>
          <w:szCs w:val="24"/>
          <w:highlight w:val="none"/>
          <w:lang w:val="en-US" w:eastAsia="zh-CN"/>
        </w:rPr>
        <w:t xml:space="preserve">6.1</w:t>
      </w:r>
      <w:r>
        <w:rPr>
          <w:rFonts w:hint="eastAsia" w:ascii="仿宋" w:hAnsi="仿宋" w:eastAsia="仿宋" w:cs="仿宋"/>
          <w:bCs/>
          <w:color w:val="auto"/>
          <w:sz w:val="24"/>
          <w:szCs w:val="24"/>
          <w:highlight w:val="none"/>
          <w:lang w:val="zh-CN"/>
        </w:rPr>
        <w:t xml:space="preserve">履约保证金应在采购合同签订前提交，履约保证金的金额：</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lang w:val="zh-CN"/>
        </w:rPr>
        <w:t xml:space="preserve">按采购合同总价的</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lang w:val="zh-CN"/>
        </w:rPr>
        <w:t xml:space="preserve">%计取(如使用江苏政府采购电子履约保函(保险)代替缴纳履约保证金的，按采购合同总价的</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lang w:val="zh-CN"/>
        </w:rPr>
        <w:t xml:space="preserve">%计取)。除银行电汇、网上银行、数字人民币外，投标人还可选用银行保函、担保公司的保证担保或保险公司的保证保险等多种形式向采购人缴纳；</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30.</w:t>
      </w:r>
      <w:r>
        <w:rPr>
          <w:rFonts w:hint="eastAsia" w:ascii="仿宋" w:hAnsi="仿宋" w:eastAsia="仿宋" w:cs="仿宋"/>
          <w:bCs/>
          <w:color w:val="auto"/>
          <w:sz w:val="24"/>
          <w:szCs w:val="24"/>
          <w:highlight w:val="none"/>
          <w:lang w:val="en-US" w:eastAsia="zh-CN"/>
        </w:rPr>
        <w:t xml:space="preserve">6.2</w:t>
      </w:r>
      <w:r>
        <w:rPr>
          <w:rFonts w:hint="eastAsia" w:ascii="仿宋" w:hAnsi="仿宋" w:eastAsia="仿宋" w:cs="仿宋"/>
          <w:bCs/>
          <w:color w:val="auto"/>
          <w:sz w:val="24"/>
          <w:szCs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30.</w:t>
      </w:r>
      <w:r>
        <w:rPr>
          <w:rFonts w:hint="eastAsia" w:ascii="仿宋" w:hAnsi="仿宋" w:eastAsia="仿宋" w:cs="仿宋"/>
          <w:bCs/>
          <w:color w:val="auto"/>
          <w:sz w:val="24"/>
          <w:szCs w:val="24"/>
          <w:highlight w:val="none"/>
          <w:lang w:val="en-US" w:eastAsia="zh-CN"/>
        </w:rPr>
        <w:t xml:space="preserve">6.3</w:t>
      </w:r>
      <w:r>
        <w:rPr>
          <w:rFonts w:hint="eastAsia" w:ascii="仿宋" w:hAnsi="仿宋" w:eastAsia="仿宋" w:cs="仿宋"/>
          <w:bCs/>
          <w:color w:val="auto"/>
          <w:sz w:val="24"/>
          <w:szCs w:val="24"/>
          <w:highlight w:val="none"/>
          <w:lang w:val="zh-CN"/>
        </w:rPr>
        <w:t xml:space="preserve">履约保证金退还的条件：按以下方式实行：</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服务类项目，项目履约期满评价合格，出具</w:t>
      </w:r>
      <w:r>
        <w:rPr>
          <w:rFonts w:hint="eastAsia" w:ascii="仿宋" w:hAnsi="仿宋" w:eastAsia="仿宋" w:cs="仿宋"/>
          <w:bCs/>
          <w:color w:val="auto"/>
          <w:sz w:val="24"/>
          <w:szCs w:val="24"/>
          <w:highlight w:val="none"/>
        </w:rPr>
        <w:t xml:space="preserve">验收报告（</w:t>
      </w:r>
      <w:r>
        <w:rPr>
          <w:rFonts w:hint="eastAsia" w:ascii="仿宋" w:hAnsi="仿宋" w:eastAsia="仿宋" w:cs="仿宋"/>
          <w:bCs/>
          <w:color w:val="auto"/>
          <w:sz w:val="24"/>
          <w:szCs w:val="24"/>
          <w:highlight w:val="none"/>
          <w:lang w:val="zh-CN"/>
        </w:rPr>
        <w:t xml:space="preserve">履约评价报告</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zh-CN"/>
        </w:rPr>
        <w:t xml:space="preserve">及履约保证金收据申请退付；</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30.</w:t>
      </w:r>
      <w:r>
        <w:rPr>
          <w:rFonts w:hint="eastAsia" w:ascii="仿宋" w:hAnsi="仿宋" w:eastAsia="仿宋" w:cs="仿宋"/>
          <w:bCs/>
          <w:color w:val="auto"/>
          <w:sz w:val="24"/>
          <w:szCs w:val="24"/>
          <w:highlight w:val="none"/>
          <w:lang w:val="en-US" w:eastAsia="zh-CN"/>
        </w:rPr>
        <w:t xml:space="preserve">6.4</w:t>
      </w:r>
      <w:r>
        <w:rPr>
          <w:rFonts w:hint="eastAsia" w:ascii="仿宋" w:hAnsi="仿宋" w:eastAsia="仿宋" w:cs="仿宋"/>
          <w:bCs/>
          <w:color w:val="auto"/>
          <w:sz w:val="24"/>
          <w:szCs w:val="24"/>
          <w:highlight w:val="none"/>
          <w:lang w:val="zh-CN"/>
        </w:rPr>
        <w:t xml:space="preserve">履约保证金退还时间：采购单位收到投标人退付申请后5个工作日内退还；</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30.</w:t>
      </w:r>
      <w:r>
        <w:rPr>
          <w:rFonts w:hint="eastAsia" w:ascii="仿宋" w:hAnsi="仿宋" w:eastAsia="仿宋" w:cs="仿宋"/>
          <w:bCs/>
          <w:color w:val="auto"/>
          <w:sz w:val="24"/>
          <w:szCs w:val="24"/>
          <w:highlight w:val="none"/>
          <w:lang w:val="en-US" w:eastAsia="zh-CN"/>
        </w:rPr>
        <w:t xml:space="preserve">6.5</w:t>
      </w:r>
      <w:r>
        <w:rPr>
          <w:rFonts w:hint="eastAsia" w:ascii="仿宋" w:hAnsi="仿宋" w:eastAsia="仿宋" w:cs="仿宋"/>
          <w:bCs/>
          <w:color w:val="auto"/>
          <w:sz w:val="24"/>
          <w:szCs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30.</w:t>
      </w:r>
      <w:r>
        <w:rPr>
          <w:rFonts w:hint="eastAsia" w:ascii="仿宋" w:hAnsi="仿宋" w:eastAsia="仿宋" w:cs="仿宋"/>
          <w:bCs/>
          <w:color w:val="auto"/>
          <w:sz w:val="24"/>
          <w:szCs w:val="24"/>
          <w:highlight w:val="none"/>
          <w:lang w:val="en-US" w:eastAsia="zh-CN"/>
        </w:rPr>
        <w:t xml:space="preserve">6.6</w:t>
      </w:r>
      <w:r>
        <w:rPr>
          <w:rFonts w:hint="eastAsia" w:ascii="仿宋" w:hAnsi="仿宋" w:eastAsia="仿宋" w:cs="仿宋"/>
          <w:bCs/>
          <w:color w:val="auto"/>
          <w:sz w:val="24"/>
          <w:szCs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本项目支持和鼓励</w:t>
      </w:r>
      <w:r>
        <w:rPr>
          <w:rFonts w:hint="eastAsia" w:ascii="仿宋" w:hAnsi="仿宋" w:eastAsia="仿宋" w:cs="仿宋"/>
          <w:bCs/>
          <w:color w:val="auto"/>
          <w:sz w:val="24"/>
          <w:szCs w:val="24"/>
          <w:highlight w:val="none"/>
          <w:lang w:eastAsia="zh-CN"/>
        </w:rPr>
        <w:t xml:space="preserve">投标人</w:t>
      </w:r>
      <w:r>
        <w:rPr>
          <w:rFonts w:hint="eastAsia" w:ascii="仿宋" w:hAnsi="仿宋" w:eastAsia="仿宋" w:cs="仿宋"/>
          <w:bCs/>
          <w:color w:val="auto"/>
          <w:sz w:val="24"/>
          <w:szCs w:val="24"/>
          <w:highlight w:val="none"/>
        </w:rPr>
        <w:t xml:space="preserve">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保险</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的通知》</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苏财购﹝2023﹞150号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w:t>
      </w:r>
      <w:r/>
    </w:p>
    <w:p>
      <w:pPr>
        <w:pStyle w:val="928"/>
        <w:ind w:left="0" w:firstLine="480"/>
        <w:pageBreakBefore w:val="0"/>
        <w:spacing w:before="0" w:after="0" w:line="560" w:lineRule="exact"/>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31、服务（包含与服务相关的货物）的追加</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仿宋" w:hAnsi="仿宋" w:eastAsia="仿宋" w:cs="仿宋"/>
          <w:color w:val="auto"/>
          <w:sz w:val="24"/>
          <w:szCs w:val="24"/>
          <w:highlight w:val="none"/>
          <w:lang w:eastAsia="zh-CN"/>
        </w:rPr>
        <w:t xml:space="preserve">额的</w:t>
      </w:r>
      <w:r>
        <w:rPr>
          <w:rFonts w:hint="eastAsia" w:ascii="仿宋" w:hAnsi="仿宋" w:eastAsia="仿宋" w:cs="仿宋"/>
          <w:color w:val="auto"/>
          <w:sz w:val="24"/>
          <w:szCs w:val="24"/>
          <w:highlight w:val="none"/>
        </w:rPr>
        <w:t xml:space="preserve">10%。</w:t>
      </w:r>
      <w:bookmarkEnd w:id="181"/>
      <w:r/>
      <w:bookmarkEnd w:id="182"/>
      <w:r/>
      <w:bookmarkEnd w:id="183"/>
      <w:r/>
      <w:r/>
    </w:p>
    <w:p>
      <w:pPr>
        <w:pStyle w:val="928"/>
        <w:ind w:left="0" w:firstLine="480"/>
        <w:pageBreakBefore w:val="0"/>
        <w:spacing w:before="0" w:after="0" w:line="560" w:lineRule="exact"/>
        <w:widowControl w:val="off"/>
        <w:rPr>
          <w:rFonts w:hint="eastAsia" w:ascii="仿宋" w:hAnsi="仿宋" w:eastAsia="仿宋" w:cs="仿宋"/>
          <w:b w:val="0"/>
          <w:color w:val="auto"/>
          <w:sz w:val="24"/>
          <w:szCs w:val="24"/>
          <w:highlight w:val="none"/>
        </w:rPr>
      </w:pPr>
      <w:r/>
      <w:bookmarkStart w:id="184" w:name="_Toc16938558"/>
      <w:r/>
      <w:bookmarkStart w:id="185" w:name="_Toc479757207"/>
      <w:r/>
      <w:bookmarkStart w:id="186" w:name="_Toc513029242"/>
      <w:r/>
      <w:bookmarkStart w:id="187" w:name="_Toc120614221"/>
      <w:r/>
      <w:bookmarkStart w:id="188" w:name="_Toc20823314"/>
      <w:r>
        <w:rPr>
          <w:rFonts w:hint="eastAsia" w:ascii="仿宋" w:hAnsi="仿宋" w:eastAsia="仿宋" w:cs="仿宋"/>
          <w:b w:val="0"/>
          <w:color w:val="auto"/>
          <w:sz w:val="24"/>
          <w:szCs w:val="24"/>
          <w:highlight w:val="none"/>
        </w:rPr>
        <w:t xml:space="preserve">32、政府采购履约资金扶持政策</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32.1依</w:t>
      </w:r>
      <w:r>
        <w:rPr>
          <w:rFonts w:hint="eastAsia" w:ascii="仿宋" w:hAnsi="仿宋" w:eastAsia="仿宋" w:cs="仿宋"/>
          <w:bCs/>
          <w:color w:val="auto"/>
          <w:sz w:val="24"/>
          <w:szCs w:val="24"/>
          <w:highlight w:val="none"/>
          <w:lang w:val="zh-CN"/>
        </w:rPr>
        <w:t xml:space="preserve">据《关于转发江苏省财政厅、中国人民银行南京分行〈关于深入推进政府采购线上合同信用融资工作的通知〉的通知》（通财购〔2021〕41号），对政府采购中标人提出“政采贷”融资申请的，采购人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w:t>
      </w:r>
      <w:r/>
    </w:p>
    <w:p>
      <w:pPr>
        <w:pStyle w:val="928"/>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33、验收及付款</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w:t>
      </w:r>
      <w:r>
        <w:rPr>
          <w:rFonts w:hint="eastAsia" w:ascii="仿宋" w:hAnsi="仿宋" w:eastAsia="仿宋" w:cs="仿宋"/>
          <w:bCs/>
          <w:color w:val="auto"/>
          <w:sz w:val="24"/>
          <w:szCs w:val="24"/>
          <w:highlight w:val="none"/>
          <w:lang w:eastAsia="zh-CN"/>
        </w:rPr>
        <w:t xml:space="preserve">投标人</w:t>
      </w:r>
      <w:r>
        <w:rPr>
          <w:rFonts w:hint="eastAsia" w:ascii="仿宋" w:hAnsi="仿宋" w:eastAsia="仿宋" w:cs="仿宋"/>
          <w:bCs/>
          <w:color w:val="auto"/>
          <w:sz w:val="24"/>
          <w:szCs w:val="24"/>
          <w:highlight w:val="none"/>
        </w:rPr>
        <w:t xml:space="preserve">须承担由此发生的一切损失和费用，并接受相应的处理。</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33.2采购人可以邀请参加本项目的其他投标人或者第三方机构参与验收。参与验收的投标人或者第三方机构的意见作为验收书的参考资料一并存档。</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33.3严格按照采购合同开展履约验收。采购人成立验收小组，按照采购合同的约定对</w:t>
      </w:r>
      <w:r>
        <w:rPr>
          <w:rFonts w:hint="eastAsia" w:ascii="仿宋" w:hAnsi="仿宋" w:eastAsia="仿宋" w:cs="仿宋"/>
          <w:bCs/>
          <w:color w:val="auto"/>
          <w:sz w:val="24"/>
          <w:szCs w:val="24"/>
          <w:highlight w:val="none"/>
          <w:lang w:eastAsia="zh-CN"/>
        </w:rPr>
        <w:t xml:space="preserve">投标人</w:t>
      </w:r>
      <w:r>
        <w:rPr>
          <w:rFonts w:hint="eastAsia" w:ascii="仿宋" w:hAnsi="仿宋" w:eastAsia="仿宋" w:cs="仿宋"/>
          <w:bCs/>
          <w:color w:val="auto"/>
          <w:sz w:val="24"/>
          <w:szCs w:val="24"/>
          <w:highlight w:val="none"/>
        </w:rPr>
        <w:t xml:space="preserve">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33.4验收合格的项目，采购人将根据采购合同的约定及时向</w:t>
      </w:r>
      <w:r>
        <w:rPr>
          <w:rFonts w:hint="eastAsia" w:ascii="仿宋" w:hAnsi="仿宋" w:eastAsia="仿宋" w:cs="仿宋"/>
          <w:bCs/>
          <w:color w:val="auto"/>
          <w:sz w:val="24"/>
          <w:szCs w:val="24"/>
          <w:highlight w:val="none"/>
          <w:lang w:eastAsia="zh-CN"/>
        </w:rPr>
        <w:t xml:space="preserve">投标人</w:t>
      </w:r>
      <w:r>
        <w:rPr>
          <w:rFonts w:hint="eastAsia" w:ascii="仿宋" w:hAnsi="仿宋" w:eastAsia="仿宋" w:cs="仿宋"/>
          <w:bCs/>
          <w:color w:val="auto"/>
          <w:sz w:val="24"/>
          <w:szCs w:val="24"/>
          <w:highlight w:val="none"/>
        </w:rPr>
        <w:t xml:space="preserve">支付采购资金、退还履约保证金。验收不合格的项目，采购人将依法及时处理。采购合同的履行、违约责任和解决争议的方式等适用《中华人民共和国民法典》。</w:t>
      </w:r>
      <w:r>
        <w:rPr>
          <w:rFonts w:hint="eastAsia" w:ascii="仿宋" w:hAnsi="仿宋" w:eastAsia="仿宋" w:cs="仿宋"/>
          <w:bCs/>
          <w:color w:val="auto"/>
          <w:sz w:val="24"/>
          <w:szCs w:val="24"/>
          <w:highlight w:val="none"/>
          <w:lang w:eastAsia="zh-CN"/>
        </w:rPr>
        <w:t xml:space="preserve">投标人</w:t>
      </w:r>
      <w:r>
        <w:rPr>
          <w:rFonts w:hint="eastAsia" w:ascii="仿宋" w:hAnsi="仿宋" w:eastAsia="仿宋" w:cs="仿宋"/>
          <w:bCs/>
          <w:color w:val="auto"/>
          <w:sz w:val="24"/>
          <w:szCs w:val="24"/>
          <w:highlight w:val="none"/>
        </w:rPr>
        <w:t xml:space="preserve">在履约过程中有政府采购法律法规规定的违法违规情形的，采购人应当及时报告本级财政部门。</w:t>
      </w:r>
      <w:r/>
    </w:p>
    <w:p>
      <w:pPr>
        <w:pStyle w:val="928"/>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34、付款</w:t>
      </w:r>
      <w:r/>
    </w:p>
    <w:p>
      <w:pPr>
        <w:ind w:left="0" w:firstLine="480"/>
        <w:jc w:val="left"/>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按照以下确定的付款方式，采购人及时办理付款手续。对于满足合同约定支付条件的，自收到发票后10个工作日内将资金支付到合同约定的</w:t>
      </w:r>
      <w:r>
        <w:rPr>
          <w:rFonts w:hint="eastAsia" w:ascii="仿宋" w:hAnsi="仿宋" w:eastAsia="仿宋" w:cs="仿宋"/>
          <w:bCs/>
          <w:color w:val="auto"/>
          <w:sz w:val="24"/>
          <w:szCs w:val="24"/>
          <w:highlight w:val="none"/>
          <w:lang w:eastAsia="zh-CN"/>
        </w:rPr>
        <w:t xml:space="preserve">投标人</w:t>
      </w:r>
      <w:r>
        <w:rPr>
          <w:rFonts w:hint="eastAsia" w:ascii="仿宋" w:hAnsi="仿宋" w:eastAsia="仿宋" w:cs="仿宋"/>
          <w:bCs/>
          <w:color w:val="auto"/>
          <w:sz w:val="24"/>
          <w:szCs w:val="24"/>
          <w:highlight w:val="none"/>
        </w:rPr>
        <w:t xml:space="preserve">账户或</w:t>
      </w:r>
      <w:r>
        <w:rPr>
          <w:rFonts w:hint="eastAsia" w:ascii="仿宋" w:hAnsi="仿宋" w:eastAsia="仿宋" w:cs="仿宋"/>
          <w:bCs/>
          <w:color w:val="auto"/>
          <w:sz w:val="24"/>
          <w:szCs w:val="24"/>
          <w:highlight w:val="none"/>
          <w:lang w:eastAsia="zh-CN"/>
        </w:rPr>
        <w:t xml:space="preserve">投标人</w:t>
      </w:r>
      <w:r>
        <w:rPr>
          <w:rFonts w:hint="eastAsia" w:ascii="仿宋" w:hAnsi="仿宋" w:eastAsia="仿宋" w:cs="仿宋"/>
          <w:bCs/>
          <w:color w:val="auto"/>
          <w:sz w:val="24"/>
          <w:szCs w:val="24"/>
          <w:highlight w:val="none"/>
        </w:rPr>
        <w:t xml:space="preserve">数字人民币账户。</w:t>
      </w:r>
      <w:r/>
    </w:p>
    <w:p>
      <w:pPr>
        <w:ind w:left="0" w:firstLine="480"/>
        <w:jc w:val="both"/>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预付款：合同金额的</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10</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%，合同签订后按规定支付； </w:t>
      </w:r>
      <w:r/>
    </w:p>
    <w:p>
      <w:pPr>
        <w:ind w:firstLine="480"/>
        <w:jc w:val="both"/>
        <w:keepLines w:val="0"/>
        <w:keepNext w:val="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进度款：</w:t>
      </w:r>
      <w:r>
        <w:rPr>
          <w:rFonts w:hint="eastAsia" w:ascii="仿宋" w:hAnsi="仿宋" w:eastAsia="仿宋" w:cs="仿宋"/>
          <w:bCs/>
          <w:color w:val="auto"/>
          <w:sz w:val="24"/>
          <w:szCs w:val="24"/>
          <w:highlight w:val="none"/>
          <w:lang w:val="en-US" w:eastAsia="zh-CN"/>
        </w:rPr>
        <w:t xml:space="preserve">1.承办服务费。承办商保机构的当期承办服务费从当期长护险基金收入中计提，计提标准以本次招标所有中标人“承办服务费”报价平均值确定,后期综合考虑服务人口、机构运营成本、工作绩效等因素，合理调整承办服务费。承办服务费从长护险基金中支付。</w:t>
      </w:r>
      <w:r>
        <w:rPr>
          <w:rFonts w:hint="eastAsia" w:ascii="仿宋" w:hAnsi="仿宋" w:eastAsia="仿宋" w:cs="仿宋"/>
          <w:bCs/>
          <w:color w:val="auto"/>
          <w:sz w:val="24"/>
          <w:szCs w:val="24"/>
          <w:highlight w:val="none"/>
          <w:lang w:val="en-US" w:eastAsia="zh-CN"/>
        </w:rPr>
        <w:t xml:space="preserve">每季度初，医保经办机构拨付上个季度承办服务费的95%给商保机构。</w:t>
      </w:r>
      <w:r>
        <w:rPr>
          <w:rFonts w:hint="eastAsia" w:ascii="仿宋" w:hAnsi="仿宋" w:eastAsia="仿宋" w:cs="仿宋"/>
          <w:bCs/>
          <w:color w:val="auto"/>
          <w:sz w:val="24"/>
          <w:szCs w:val="24"/>
          <w:highlight w:val="none"/>
          <w:lang w:val="en-US" w:eastAsia="zh-CN"/>
        </w:rPr>
        <w:t xml:space="preserve">次年初，根据协议履行情况、服务对象满意度情况及当期考核结果，进行当期结算。招录的经办服务人员薪酬、保险及福利费用，办公经费，稽核费用，培训费，宣传费，交通工具相关费用，以及长护险服务场所建设费用、办公装备设施费用、信息系统费用(含软件开发、硬件设备、安全等保)一次性投入均摊等列入承办服务费</w:t>
      </w:r>
      <w:r>
        <w:rPr>
          <w:rFonts w:hint="eastAsia" w:ascii="仿宋" w:hAnsi="仿宋" w:eastAsia="仿宋" w:cs="仿宋"/>
          <w:bCs/>
          <w:color w:val="auto"/>
          <w:sz w:val="24"/>
          <w:szCs w:val="24"/>
          <w:highlight w:val="none"/>
        </w:rPr>
        <w:t xml:space="preserve">。</w:t>
      </w:r>
      <w:r/>
    </w:p>
    <w:p>
      <w:pPr>
        <w:numPr>
          <w:ilvl w:val="0"/>
          <w:numId w:val="0"/>
        </w:numPr>
        <w:ind w:firstLine="480"/>
        <w:jc w:val="both"/>
        <w:keepLines w:val="0"/>
        <w:keepNext w:val="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bidi="ar-SA"/>
        </w:rPr>
        <w:t xml:space="preserve">2.</w:t>
      </w:r>
      <w:r>
        <w:rPr>
          <w:rFonts w:hint="eastAsia" w:ascii="仿宋" w:hAnsi="仿宋" w:eastAsia="仿宋" w:cs="仿宋"/>
          <w:bCs/>
          <w:color w:val="auto"/>
          <w:sz w:val="24"/>
          <w:szCs w:val="24"/>
          <w:highlight w:val="none"/>
          <w:lang w:val="en-US" w:eastAsia="zh-CN"/>
        </w:rPr>
        <w:t xml:space="preserve">失能人员在宿迁市内，发生的符合长护险失能评估、</w:t>
      </w:r>
      <w:r>
        <w:rPr>
          <w:rFonts w:hint="eastAsia" w:ascii="仿宋" w:hAnsi="仿宋" w:eastAsia="仿宋" w:cs="仿宋"/>
          <w:bCs/>
          <w:color w:val="auto"/>
          <w:sz w:val="24"/>
          <w:szCs w:val="24"/>
          <w:highlight w:val="none"/>
          <w:lang w:val="en-US" w:eastAsia="zh-CN"/>
        </w:rPr>
        <w:t xml:space="preserve">护理服务项目范围和标准的费用(由市医疗保障局另行制定),从长护险基金中支付；超出长护险护理服务项目范围和标准的护理费用，长护险基金不予支付，由失能人员个人承担，并与定点服务机构直接结算</w:t>
      </w:r>
      <w:r>
        <w:rPr>
          <w:rFonts w:hint="eastAsia" w:ascii="仿宋" w:hAnsi="仿宋" w:eastAsia="仿宋" w:cs="仿宋"/>
          <w:bCs/>
          <w:color w:val="auto"/>
          <w:sz w:val="24"/>
          <w:szCs w:val="24"/>
          <w:highlight w:val="none"/>
        </w:rPr>
        <w:t xml:space="preserve">。</w:t>
      </w:r>
      <w:r/>
    </w:p>
    <w:p>
      <w:pPr>
        <w:numPr>
          <w:ilvl w:val="0"/>
          <w:numId w:val="0"/>
        </w:numPr>
        <w:ind w:firstLine="480"/>
        <w:jc w:val="both"/>
        <w:keepLines w:val="0"/>
        <w:keepNext w:val="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3.采购人建立与服务对象满意度、评估质量、护理服务质量挂钩的考核结算机制。可通过约定预留款等方式，每期末根据考核结果进行费用清算</w:t>
      </w:r>
      <w:r>
        <w:rPr>
          <w:rFonts w:hint="eastAsia" w:ascii="仿宋" w:hAnsi="仿宋" w:eastAsia="仿宋" w:cs="仿宋"/>
          <w:bCs/>
          <w:color w:val="auto"/>
          <w:sz w:val="24"/>
          <w:szCs w:val="24"/>
          <w:highlight w:val="none"/>
        </w:rPr>
        <w:t xml:space="preserve">。</w:t>
      </w:r>
      <w:r/>
    </w:p>
    <w:p>
      <w:pPr>
        <w:numPr>
          <w:ilvl w:val="0"/>
          <w:numId w:val="0"/>
        </w:numPr>
        <w:ind w:firstLine="480"/>
        <w:jc w:val="both"/>
        <w:keepLines w:val="0"/>
        <w:keepNext w:val="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4.根据上月长护险待遇享受人数、待遇标准和实际享受待遇时间，按照协议约定与定点服务机构结算费用，发放至失能人员银行卡（社保卡）账户</w:t>
      </w:r>
      <w:r>
        <w:rPr>
          <w:rFonts w:hint="eastAsia" w:ascii="仿宋" w:hAnsi="仿宋" w:eastAsia="仿宋" w:cs="仿宋"/>
          <w:bCs/>
          <w:color w:val="auto"/>
          <w:sz w:val="24"/>
          <w:szCs w:val="24"/>
          <w:highlight w:val="none"/>
        </w:rPr>
        <w:t xml:space="preserve">。</w:t>
      </w:r>
      <w:r/>
    </w:p>
    <w:p>
      <w:pPr>
        <w:numPr>
          <w:ilvl w:val="0"/>
          <w:numId w:val="0"/>
        </w:numPr>
        <w:ind w:firstLine="480"/>
        <w:jc w:val="both"/>
        <w:keepLines w:val="0"/>
        <w:keepNext w:val="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5.每月由共保体向采购人提交长护险支付费用情况表(表样由采购人提供),每月编报长护险运行分析报告，按考核当期提交总结报告</w:t>
      </w:r>
      <w:r>
        <w:rPr>
          <w:rFonts w:hint="eastAsia" w:ascii="仿宋" w:hAnsi="仿宋" w:eastAsia="仿宋" w:cs="仿宋"/>
          <w:bCs/>
          <w:color w:val="auto"/>
          <w:sz w:val="24"/>
          <w:szCs w:val="24"/>
          <w:highlight w:val="none"/>
        </w:rPr>
        <w:t xml:space="preserve">。</w:t>
      </w:r>
      <w:r/>
    </w:p>
    <w:p>
      <w:pPr>
        <w:numPr>
          <w:ilvl w:val="0"/>
          <w:numId w:val="0"/>
        </w:numPr>
        <w:ind w:firstLine="480"/>
        <w:jc w:val="both"/>
        <w:keepLines w:val="0"/>
        <w:keepNext w:val="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6.保费与承办服务费分别建账、核算、考核</w:t>
      </w:r>
      <w:r/>
    </w:p>
    <w:p>
      <w:pPr>
        <w:numPr>
          <w:ilvl w:val="0"/>
          <w:numId w:val="0"/>
        </w:numPr>
        <w:ind w:firstLine="480"/>
        <w:jc w:val="both"/>
        <w:keepLines w:val="0"/>
        <w:keepNext w:val="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6.1 采购人按每保险期的筹资标准及期初人数，计算长护险基金收入，将基金收入划分长护险保费与长护险承办服务费两个科目。其中承办服务费按招标确定的承办服务费基准标准计提，其余计提划入长护险保费。</w:t>
      </w:r>
      <w:r/>
    </w:p>
    <w:p>
      <w:pPr>
        <w:numPr>
          <w:ilvl w:val="0"/>
          <w:numId w:val="0"/>
        </w:numPr>
        <w:ind w:firstLine="480"/>
        <w:jc w:val="both"/>
        <w:keepLines w:val="0"/>
        <w:keepNext w:val="0"/>
        <w:pageBreakBefore w:val="0"/>
        <w:spacing w:line="560" w:lineRule="exac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6.2共保体相应建立以上两个科目。合同期内，每季度初采购人按上季度长护险基金支出和承办服务费（年初参保人数25%确定计提标准）的95%向共保体分别拨付两个科目的预付资金，其余部分留存采购人，分别用于对共保体各期末综合考核和承办服务质量考核，根据考核结果及时清算，如有结余，结余部分返还基金</w:t>
      </w:r>
      <w:r>
        <w:rPr>
          <w:rFonts w:hint="eastAsia" w:ascii="仿宋" w:hAnsi="仿宋" w:eastAsia="仿宋" w:cs="仿宋"/>
          <w:bCs/>
          <w:color w:val="auto"/>
          <w:sz w:val="24"/>
          <w:szCs w:val="24"/>
          <w:highlight w:val="none"/>
          <w:lang w:val="en-US" w:eastAsia="zh-CN"/>
        </w:rPr>
        <w:t xml:space="preserve">。</w:t>
      </w:r>
      <w:r/>
    </w:p>
    <w:p>
      <w:pPr>
        <w:numPr>
          <w:ilvl w:val="0"/>
          <w:numId w:val="0"/>
        </w:numPr>
        <w:ind w:firstLine="480"/>
        <w:jc w:val="both"/>
        <w:keepLines w:val="0"/>
        <w:keepNext w:val="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bidi="ar-SA"/>
        </w:rPr>
        <w:t xml:space="preserve">7.</w:t>
      </w:r>
      <w:r>
        <w:rPr>
          <w:rFonts w:hint="eastAsia" w:ascii="仿宋" w:hAnsi="仿宋" w:eastAsia="仿宋" w:cs="仿宋"/>
          <w:bCs/>
          <w:color w:val="auto"/>
          <w:sz w:val="24"/>
          <w:szCs w:val="24"/>
          <w:highlight w:val="none"/>
        </w:rPr>
        <w:t xml:space="preserve">盈亏处理</w:t>
      </w:r>
      <w:r/>
    </w:p>
    <w:p>
      <w:pPr>
        <w:numPr>
          <w:ilvl w:val="0"/>
          <w:numId w:val="0"/>
        </w:numPr>
        <w:ind w:firstLine="480"/>
        <w:jc w:val="both"/>
        <w:keepLines w:val="0"/>
        <w:keepNext w:val="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长护险按照“以收定支、收支平衡、略有盈余”的原则建立风险共担机制。长护险保费收支结余如出现亏损，亏损2%(含)以内的部分由承办商保机构承担，2%以上的部分，经医疗保障行政部门综合评定后，对因政策调整导致的亏损部分，由基金承担，除政策调整原因以外导致的亏损部分，由承办商保机构承担；由采购人根据实际情况最终确定。</w:t>
      </w:r>
      <w:r/>
    </w:p>
    <w:p>
      <w:pPr>
        <w:ind w:firstLine="480"/>
        <w:jc w:val="both"/>
        <w:keepLines w:val="0"/>
        <w:keepNext w:val="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如有盈利，则盈利部分全额返还基金。承办服务费结余归采购人所有，超支的由共保体承担。</w:t>
      </w:r>
      <w:r/>
    </w:p>
    <w:p>
      <w:pPr>
        <w:ind w:firstLine="480"/>
        <w:jc w:val="both"/>
        <w:keepLines w:val="0"/>
        <w:keepNext w:val="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盈利率或亏损率计算公式：[(本期长护险实际保费-本期长护险待遇支出-本期长护险评估费用支出)/本期长护险实际保费]×100%。本期长护险实际保费=当期长护险基金收入-本期长护险承办服务费支出。承办服务费含共保体招录的经办服务人员薪酬、保险及福利费用；办公经费；稽查稽核费用；培训费；宣传费；交通工具相关费用，以及长护险服务场所建设费用、办公装备设施费用、信息系统费用(含软件开发、硬件设备、安全等保)一次性投入均摊等。</w:t>
      </w:r>
      <w:r/>
    </w:p>
    <w:p>
      <w:pPr>
        <w:ind w:firstLine="482"/>
        <w:jc w:val="both"/>
        <w:pageBreakBefore w:val="0"/>
        <w:spacing w:line="56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注：1.在签订合同时，中标人明确表示无需预付款或者主动要求降低预付款比例的金额，采购人可不适用预付款规定。</w:t>
      </w:r>
      <w:r/>
    </w:p>
    <w:p>
      <w:pPr>
        <w:ind w:firstLine="482"/>
        <w:jc w:val="both"/>
        <w:pageBreakBefore w:val="0"/>
        <w:spacing w:line="56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2.由于各期参保人数中途可能发生变动，以各期实际划拨的保费为准。</w:t>
      </w:r>
      <w:r/>
    </w:p>
    <w:p>
      <w:pPr>
        <w:ind w:firstLine="482"/>
        <w:jc w:val="both"/>
        <w:pageBreakBefore w:val="0"/>
        <w:spacing w:line="56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3.本项目以所有中标人承办服务费报价的平均值（含小数点后两位）作为最终承办服务费计提比例</w:t>
      </w:r>
      <w:r>
        <w:rPr>
          <w:rFonts w:hint="eastAsia" w:ascii="仿宋" w:hAnsi="仿宋" w:eastAsia="仿宋" w:cs="仿宋"/>
          <w:b/>
          <w:bCs w:val="0"/>
          <w:color w:val="auto"/>
          <w:sz w:val="24"/>
          <w:szCs w:val="24"/>
          <w:highlight w:val="none"/>
        </w:rPr>
        <w:t xml:space="preserve">，最高不得超过3.2元/每服务一个参保人员·年。</w:t>
      </w:r>
      <w:r/>
    </w:p>
    <w:p>
      <w:pPr>
        <w:ind w:firstLine="0"/>
        <w:jc w:val="center"/>
        <w:keepLines w:val="0"/>
        <w:keepNext w:val="0"/>
        <w:pageBreakBefore w:val="0"/>
        <w:spacing w:line="480" w:lineRule="auto"/>
        <w:widowControl w:val="off"/>
        <w:rPr>
          <w:rFonts w:hint="eastAsia" w:ascii="仿宋" w:hAnsi="仿宋" w:eastAsia="仿宋" w:cs="仿宋"/>
          <w:color w:val="auto"/>
          <w:sz w:val="24"/>
          <w:szCs w:val="24"/>
          <w:highlight w:val="none"/>
        </w:rPr>
        <w:outlineLvl w:val="0"/>
      </w:pPr>
      <w:r>
        <w:rPr>
          <w:rFonts w:hint="eastAsia" w:ascii="仿宋" w:hAnsi="仿宋" w:eastAsia="仿宋" w:cs="仿宋"/>
          <w:bCs/>
          <w:color w:val="auto"/>
          <w:sz w:val="44"/>
          <w:highlight w:val="none"/>
        </w:rPr>
        <w:br w:type="page" w:clear="all"/>
      </w:r>
      <w:bookmarkStart w:id="189" w:name="_Toc10070"/>
      <w:r>
        <w:rPr>
          <w:rStyle w:val="765"/>
          <w:rFonts w:hint="eastAsia" w:ascii="仿宋" w:hAnsi="仿宋" w:eastAsia="仿宋" w:cs="仿宋"/>
          <w:b/>
          <w:bCs/>
          <w:color w:val="auto"/>
          <w:highlight w:val="none"/>
        </w:rPr>
        <w:t xml:space="preserve">第三章   合同</w:t>
      </w:r>
      <w:bookmarkEnd w:id="184"/>
      <w:r/>
      <w:bookmarkEnd w:id="185"/>
      <w:r/>
      <w:bookmarkEnd w:id="186"/>
      <w:r/>
      <w:bookmarkEnd w:id="187"/>
      <w:r/>
      <w:bookmarkEnd w:id="188"/>
      <w:r>
        <w:rPr>
          <w:rStyle w:val="765"/>
          <w:rFonts w:hint="eastAsia" w:ascii="仿宋" w:hAnsi="仿宋" w:eastAsia="仿宋" w:cs="仿宋"/>
          <w:b/>
          <w:bCs/>
          <w:color w:val="auto"/>
          <w:highlight w:val="none"/>
        </w:rPr>
        <w:t xml:space="preserve">文本</w:t>
      </w:r>
      <w:bookmarkEnd w:id="189"/>
      <w:r/>
      <w:r/>
    </w:p>
    <w:p>
      <w:pPr>
        <w:ind w:left="0" w:firstLine="480"/>
        <w:keepLines w:val="0"/>
        <w:keepNext w:val="0"/>
        <w:pageBreakBefore w:val="0"/>
        <w:spacing w:line="560" w:lineRule="exact"/>
        <w:widowControl w:val="off"/>
        <w:rPr>
          <w:rFonts w:hint="eastAsia" w:ascii="仿宋" w:hAnsi="仿宋" w:eastAsia="仿宋" w:cs="仿宋"/>
          <w:bCs/>
          <w:color w:val="auto"/>
          <w:sz w:val="24"/>
          <w:szCs w:val="24"/>
          <w:highlight w:val="none"/>
        </w:rPr>
      </w:pPr>
      <w:r/>
      <w:bookmarkStart w:id="190" w:name="_Toc513029243"/>
      <w:r/>
      <w:bookmarkStart w:id="191" w:name="_Toc16938559"/>
      <w:r/>
      <w:bookmarkStart w:id="192" w:name="_Toc20823315"/>
      <w:r>
        <w:rPr>
          <w:rFonts w:hint="eastAsia" w:ascii="仿宋" w:hAnsi="仿宋" w:eastAsia="仿宋" w:cs="仿宋"/>
          <w:bCs/>
          <w:color w:val="auto"/>
          <w:sz w:val="24"/>
          <w:szCs w:val="24"/>
          <w:highlight w:val="none"/>
        </w:rPr>
        <w:t xml:space="preserve">以下为中标后签定本项目合同的通用条款，</w:t>
      </w:r>
      <w:r>
        <w:rPr>
          <w:rFonts w:hint="eastAsia" w:ascii="仿宋" w:hAnsi="仿宋" w:eastAsia="仿宋" w:cs="仿宋"/>
          <w:bCs/>
          <w:color w:val="auto"/>
          <w:sz w:val="24"/>
          <w:szCs w:val="24"/>
          <w:highlight w:val="none"/>
          <w:lang w:eastAsia="zh-CN"/>
        </w:rPr>
        <w:t xml:space="preserve">乙方</w:t>
      </w:r>
      <w:r>
        <w:rPr>
          <w:rFonts w:hint="eastAsia" w:ascii="仿宋" w:hAnsi="仿宋" w:eastAsia="仿宋" w:cs="仿宋"/>
          <w:bCs/>
          <w:color w:val="auto"/>
          <w:sz w:val="24"/>
          <w:szCs w:val="24"/>
          <w:highlight w:val="none"/>
        </w:rPr>
        <w:t xml:space="preserve">不得提出实质性的修改。</w:t>
      </w:r>
      <w:r/>
    </w:p>
    <w:p>
      <w:pPr>
        <w:jc w:val="center"/>
        <w:rPr>
          <w:rFonts w:hint="eastAsia" w:ascii="黑体" w:hAnsi="黑体" w:eastAsia="黑体" w:cs="黑体"/>
          <w:color w:val="auto"/>
          <w:sz w:val="32"/>
          <w:szCs w:val="32"/>
          <w:highlight w:val="none"/>
          <w:lang w:eastAsia="zh-CN"/>
        </w:rPr>
      </w:pPr>
      <w:r>
        <w:rPr>
          <w:rFonts w:hint="eastAsia" w:ascii="黑体" w:hAnsi="黑体" w:eastAsia="黑体" w:cs="黑体"/>
          <w:color w:val="auto"/>
          <w:sz w:val="32"/>
          <w:szCs w:val="32"/>
          <w:highlight w:val="none"/>
          <w:lang w:eastAsia="zh-CN"/>
        </w:rPr>
      </w:r>
      <w:r/>
    </w:p>
    <w:p>
      <w:pPr>
        <w:pStyle w:val="1026"/>
        <w:jc w:val="center"/>
        <w:spacing w:line="480" w:lineRule="auto"/>
        <w:widowControl/>
        <w:rPr>
          <w:rStyle w:val="739"/>
          <w:rFonts w:hint="eastAsia" w:ascii="仿宋" w:hAnsi="仿宋" w:eastAsia="仿宋" w:cs="仿宋"/>
          <w:b/>
          <w:color w:val="auto"/>
          <w:sz w:val="44"/>
          <w:szCs w:val="44"/>
          <w:highlight w:val="none"/>
          <w:lang w:val="en-US" w:eastAsia="zh-CN"/>
        </w:rPr>
        <w:pBdr>
          <w:top w:val="none" w:color="000000" w:sz="0" w:space="0"/>
          <w:left w:val="none" w:color="000000" w:sz="0" w:space="0"/>
          <w:bottom w:val="none" w:color="000000" w:sz="0" w:space="0"/>
          <w:right w:val="none" w:color="000000" w:sz="0" w:space="0"/>
        </w:pBdr>
      </w:pPr>
      <w:r>
        <w:rPr>
          <w:rStyle w:val="739"/>
          <w:rFonts w:hint="eastAsia" w:ascii="仿宋" w:hAnsi="仿宋" w:eastAsia="仿宋" w:cs="仿宋"/>
          <w:b/>
          <w:color w:val="auto"/>
          <w:sz w:val="44"/>
          <w:szCs w:val="44"/>
          <w:highlight w:val="none"/>
          <w:lang w:eastAsia="zh-CN"/>
        </w:rPr>
        <w:t xml:space="preserve">宿迁市长期护理保险委托商保公司经办项目政府</w:t>
      </w:r>
      <w:r>
        <w:rPr>
          <w:rStyle w:val="739"/>
          <w:rFonts w:hint="eastAsia" w:ascii="仿宋" w:hAnsi="仿宋" w:eastAsia="仿宋" w:cs="仿宋"/>
          <w:b/>
          <w:color w:val="auto"/>
          <w:sz w:val="44"/>
          <w:szCs w:val="44"/>
          <w:highlight w:val="none"/>
          <w:lang w:val="en-US" w:eastAsia="zh-CN"/>
        </w:rPr>
        <w:t xml:space="preserve">采购合同</w:t>
      </w:r>
      <w:r/>
    </w:p>
    <w:p>
      <w:pPr>
        <w:jc w:val="center"/>
        <w:spacing w:before="145" w:after="145"/>
        <w:rPr>
          <w:rStyle w:val="739"/>
          <w:rFonts w:hint="eastAsia" w:ascii="仿宋" w:hAnsi="仿宋" w:eastAsia="仿宋" w:cs="仿宋"/>
          <w:b/>
          <w:color w:val="auto"/>
          <w:sz w:val="32"/>
          <w:szCs w:val="32"/>
          <w:highlight w:val="none"/>
          <w:lang w:val="en-US" w:eastAsia="zh-CN" w:bidi="ar-SA"/>
        </w:rPr>
        <w:outlineLvl w:val="0"/>
      </w:pPr>
      <w:r>
        <w:rPr>
          <w:rStyle w:val="739"/>
          <w:rFonts w:hint="eastAsia" w:ascii="仿宋" w:hAnsi="仿宋" w:eastAsia="仿宋" w:cs="仿宋"/>
          <w:b/>
          <w:color w:val="auto"/>
          <w:sz w:val="32"/>
          <w:szCs w:val="32"/>
          <w:highlight w:val="none"/>
          <w:lang w:val="en-US" w:eastAsia="zh-CN" w:bidi="ar-SA"/>
        </w:rPr>
        <w:t xml:space="preserve">（合同编号JSZC-321300-SQHS-G2025-0045001）</w:t>
      </w:r>
      <w:r/>
    </w:p>
    <w:p>
      <w:pPr>
        <w:jc w:val="center"/>
        <w:spacing w:before="145" w:after="145"/>
        <w:rPr>
          <w:rStyle w:val="739"/>
          <w:rFonts w:hint="eastAsia" w:ascii="仿宋" w:hAnsi="仿宋" w:eastAsia="仿宋" w:cs="仿宋"/>
          <w:b/>
          <w:color w:val="auto"/>
          <w:sz w:val="32"/>
          <w:szCs w:val="32"/>
          <w:highlight w:val="none"/>
          <w:lang w:val="en-US" w:eastAsia="zh-CN" w:bidi="ar-SA"/>
        </w:rPr>
        <w:outlineLvl w:val="0"/>
      </w:pPr>
      <w:r>
        <w:rPr>
          <w:rStyle w:val="739"/>
          <w:rFonts w:hint="eastAsia" w:ascii="仿宋" w:hAnsi="仿宋" w:eastAsia="仿宋" w:cs="仿宋"/>
          <w:b/>
          <w:color w:val="auto"/>
          <w:sz w:val="32"/>
          <w:szCs w:val="32"/>
          <w:highlight w:val="none"/>
          <w:lang w:val="en-US" w:eastAsia="zh-CN" w:bidi="ar-SA"/>
        </w:rPr>
        <w:t xml:space="preserve">（服务类）</w:t>
      </w:r>
      <w:r/>
    </w:p>
    <w:p>
      <w:pPr>
        <w:pStyle w:val="1044"/>
        <w:jc w:val="center"/>
        <w:spacing w:line="480" w:lineRule="auto"/>
        <w:widowControl/>
        <w:rPr>
          <w:rStyle w:val="739"/>
          <w:rFonts w:ascii="仿宋" w:hAnsi="仿宋" w:eastAsia="仿宋" w:cs="仿宋"/>
          <w:b/>
          <w:color w:val="auto"/>
          <w:sz w:val="24"/>
          <w:szCs w:val="20"/>
          <w:highlight w:val="none"/>
        </w:rPr>
      </w:pPr>
      <w:r>
        <w:rPr>
          <w:rFonts w:ascii="仿宋" w:hAnsi="仿宋" w:eastAsia="仿宋" w:cs="仿宋"/>
          <w:b/>
          <w:color w:val="auto"/>
          <w:sz w:val="24"/>
          <w:szCs w:val="20"/>
          <w:highlight w:val="none"/>
        </w:rPr>
      </w:r>
      <w:r/>
    </w:p>
    <w:p>
      <w:pPr>
        <w:pStyle w:val="1044"/>
        <w:spacing w:after="200"/>
        <w:rPr>
          <w:rStyle w:val="739"/>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1044"/>
        <w:spacing w:after="200"/>
        <w:rPr>
          <w:rStyle w:val="739"/>
          <w:rFonts w:ascii="仿宋" w:hAnsi="仿宋" w:eastAsia="仿宋" w:cs="仿宋"/>
          <w:color w:val="auto"/>
          <w:spacing w:val="-6"/>
          <w:sz w:val="32"/>
          <w:szCs w:val="28"/>
          <w:highlight w:val="none"/>
        </w:rPr>
      </w:pPr>
      <w:r>
        <w:rPr>
          <w:rStyle w:val="739"/>
          <w:rFonts w:hint="eastAsia" w:ascii="仿宋" w:hAnsi="仿宋" w:eastAsia="仿宋" w:cs="仿宋"/>
          <w:color w:val="auto"/>
          <w:sz w:val="32"/>
          <w:szCs w:val="28"/>
          <w:highlight w:val="none"/>
        </w:rPr>
        <w:t xml:space="preserve">项  目  名  称：</w:t>
      </w:r>
      <w:r>
        <w:rPr>
          <w:rStyle w:val="739"/>
          <w:rFonts w:hint="eastAsia" w:ascii="仿宋" w:hAnsi="仿宋" w:eastAsia="仿宋" w:cs="仿宋"/>
          <w:color w:val="auto"/>
          <w:spacing w:val="-6"/>
          <w:sz w:val="28"/>
          <w:szCs w:val="28"/>
          <w:highlight w:val="none"/>
          <w:u w:val="single"/>
        </w:rPr>
        <w:t xml:space="preserve">                                                 </w:t>
      </w:r>
      <w:r/>
    </w:p>
    <w:p>
      <w:pPr>
        <w:pStyle w:val="1044"/>
        <w:spacing w:after="200"/>
        <w:rPr>
          <w:rStyle w:val="739"/>
          <w:rFonts w:ascii="仿宋" w:hAnsi="仿宋" w:eastAsia="仿宋" w:cs="仿宋"/>
          <w:color w:val="auto"/>
          <w:sz w:val="32"/>
          <w:szCs w:val="28"/>
          <w:highlight w:val="none"/>
        </w:rPr>
      </w:pPr>
      <w:r>
        <w:rPr>
          <w:rFonts w:ascii="仿宋" w:hAnsi="仿宋" w:eastAsia="仿宋" w:cs="仿宋"/>
          <w:color w:val="auto"/>
          <w:sz w:val="32"/>
          <w:szCs w:val="28"/>
          <w:highlight w:val="none"/>
        </w:rPr>
      </w:r>
      <w:r/>
    </w:p>
    <w:p>
      <w:pPr>
        <w:pStyle w:val="1044"/>
        <w:spacing w:after="200"/>
        <w:rPr>
          <w:rStyle w:val="739"/>
          <w:rFonts w:ascii="仿宋" w:hAnsi="仿宋" w:eastAsia="仿宋" w:cs="仿宋"/>
          <w:color w:val="auto"/>
          <w:sz w:val="32"/>
          <w:szCs w:val="28"/>
          <w:highlight w:val="none"/>
        </w:rPr>
      </w:pPr>
      <w:r>
        <w:rPr>
          <w:rStyle w:val="739"/>
          <w:rFonts w:hint="eastAsia" w:ascii="仿宋" w:hAnsi="仿宋" w:eastAsia="仿宋" w:cs="仿宋"/>
          <w:color w:val="auto"/>
          <w:sz w:val="32"/>
          <w:szCs w:val="28"/>
          <w:highlight w:val="none"/>
        </w:rPr>
        <w:t xml:space="preserve">项  目  地  点：</w:t>
      </w:r>
      <w:r>
        <w:rPr>
          <w:rStyle w:val="739"/>
          <w:rFonts w:hint="eastAsia" w:ascii="仿宋" w:hAnsi="仿宋" w:eastAsia="仿宋" w:cs="仿宋"/>
          <w:color w:val="auto"/>
          <w:sz w:val="28"/>
          <w:szCs w:val="28"/>
          <w:highlight w:val="none"/>
          <w:u w:val="single"/>
        </w:rPr>
        <w:t xml:space="preserve">               宿迁市                       </w:t>
      </w:r>
      <w:r/>
    </w:p>
    <w:p>
      <w:pPr>
        <w:pStyle w:val="1044"/>
        <w:spacing w:after="200"/>
        <w:rPr>
          <w:rStyle w:val="739"/>
          <w:rFonts w:ascii="仿宋" w:hAnsi="仿宋" w:eastAsia="仿宋" w:cs="仿宋"/>
          <w:color w:val="auto"/>
          <w:sz w:val="32"/>
          <w:szCs w:val="28"/>
          <w:highlight w:val="none"/>
        </w:rPr>
      </w:pPr>
      <w:r>
        <w:rPr>
          <w:rFonts w:ascii="仿宋" w:hAnsi="仿宋" w:eastAsia="仿宋" w:cs="仿宋"/>
          <w:color w:val="auto"/>
          <w:sz w:val="32"/>
          <w:szCs w:val="28"/>
          <w:highlight w:val="none"/>
        </w:rPr>
      </w:r>
      <w:r/>
    </w:p>
    <w:p>
      <w:pPr>
        <w:pStyle w:val="1044"/>
        <w:spacing w:after="200"/>
        <w:rPr>
          <w:rStyle w:val="739"/>
          <w:rFonts w:ascii="仿宋" w:hAnsi="仿宋" w:eastAsia="仿宋" w:cs="仿宋"/>
          <w:color w:val="auto"/>
          <w:sz w:val="28"/>
          <w:szCs w:val="28"/>
          <w:highlight w:val="none"/>
          <w:u w:val="single"/>
        </w:rPr>
      </w:pPr>
      <w:r>
        <w:rPr>
          <w:rStyle w:val="739"/>
          <w:rFonts w:hint="eastAsia" w:ascii="仿宋" w:hAnsi="仿宋" w:eastAsia="仿宋" w:cs="仿宋"/>
          <w:color w:val="auto"/>
          <w:sz w:val="32"/>
          <w:szCs w:val="28"/>
          <w:highlight w:val="none"/>
        </w:rPr>
        <w:t xml:space="preserve">甲          方：</w:t>
      </w:r>
      <w:r>
        <w:rPr>
          <w:rStyle w:val="739"/>
          <w:rFonts w:hint="eastAsia" w:ascii="仿宋" w:hAnsi="仿宋" w:eastAsia="仿宋" w:cs="仿宋"/>
          <w:color w:val="auto"/>
          <w:sz w:val="28"/>
          <w:szCs w:val="28"/>
          <w:highlight w:val="none"/>
          <w:u w:val="single"/>
        </w:rPr>
        <w:t xml:space="preserve">             宿迁市医疗保障局               </w:t>
      </w:r>
      <w:r/>
    </w:p>
    <w:p>
      <w:pPr>
        <w:pStyle w:val="1044"/>
        <w:spacing w:after="200"/>
        <w:rPr>
          <w:rStyle w:val="739"/>
          <w:rFonts w:ascii="仿宋" w:hAnsi="仿宋" w:eastAsia="仿宋" w:cs="仿宋"/>
          <w:color w:val="auto"/>
          <w:sz w:val="32"/>
          <w:szCs w:val="28"/>
          <w:highlight w:val="none"/>
        </w:rPr>
      </w:pPr>
      <w:r>
        <w:rPr>
          <w:rFonts w:ascii="仿宋" w:hAnsi="仿宋" w:eastAsia="仿宋" w:cs="仿宋"/>
          <w:color w:val="auto"/>
          <w:sz w:val="32"/>
          <w:szCs w:val="28"/>
          <w:highlight w:val="none"/>
        </w:rPr>
      </w:r>
      <w:r/>
    </w:p>
    <w:p>
      <w:pPr>
        <w:pStyle w:val="1044"/>
        <w:spacing w:after="200"/>
        <w:rPr>
          <w:rStyle w:val="739"/>
          <w:rFonts w:ascii="仿宋" w:hAnsi="仿宋" w:eastAsia="仿宋" w:cs="仿宋"/>
          <w:color w:val="auto"/>
          <w:sz w:val="28"/>
          <w:szCs w:val="28"/>
          <w:highlight w:val="none"/>
          <w:u w:val="single"/>
        </w:rPr>
      </w:pPr>
      <w:r>
        <w:rPr>
          <w:rStyle w:val="739"/>
          <w:rFonts w:hint="eastAsia" w:ascii="仿宋" w:hAnsi="仿宋" w:eastAsia="仿宋" w:cs="仿宋"/>
          <w:color w:val="auto"/>
          <w:sz w:val="32"/>
          <w:szCs w:val="28"/>
          <w:highlight w:val="none"/>
        </w:rPr>
        <w:t xml:space="preserve">乙          方：</w:t>
      </w:r>
      <w:r>
        <w:rPr>
          <w:rStyle w:val="739"/>
          <w:rFonts w:hint="eastAsia" w:ascii="仿宋" w:hAnsi="仿宋" w:eastAsia="仿宋" w:cs="仿宋"/>
          <w:color w:val="auto"/>
          <w:sz w:val="32"/>
          <w:szCs w:val="28"/>
          <w:highlight w:val="none"/>
          <w:u w:val="single"/>
        </w:rPr>
        <w:t xml:space="preserve">     </w:t>
      </w:r>
      <w:r>
        <w:rPr>
          <w:rStyle w:val="739"/>
          <w:rFonts w:hint="eastAsia" w:ascii="仿宋" w:hAnsi="仿宋" w:eastAsia="仿宋" w:cs="仿宋"/>
          <w:color w:val="auto"/>
          <w:sz w:val="28"/>
          <w:szCs w:val="28"/>
          <w:highlight w:val="none"/>
          <w:u w:val="single"/>
        </w:rPr>
        <w:t xml:space="preserve">                                       </w:t>
      </w:r>
      <w:r/>
    </w:p>
    <w:p>
      <w:pPr>
        <w:pStyle w:val="1044"/>
        <w:spacing w:after="200"/>
        <w:rPr>
          <w:rStyle w:val="739"/>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4"/>
        <w:jc w:val="center"/>
        <w:spacing w:after="200"/>
        <w:rPr>
          <w:rStyle w:val="739"/>
          <w:rFonts w:ascii="仿宋" w:hAnsi="仿宋" w:eastAsia="仿宋" w:cs="仿宋"/>
          <w:color w:val="auto"/>
          <w:sz w:val="28"/>
          <w:szCs w:val="28"/>
          <w:highlight w:val="none"/>
        </w:rPr>
      </w:pPr>
      <w:r>
        <w:rPr>
          <w:rStyle w:val="739"/>
          <w:rFonts w:hint="eastAsia" w:ascii="仿宋" w:hAnsi="仿宋" w:eastAsia="仿宋" w:cs="仿宋"/>
          <w:color w:val="auto"/>
          <w:sz w:val="28"/>
          <w:szCs w:val="28"/>
          <w:highlight w:val="none"/>
        </w:rPr>
        <w:t xml:space="preserve">签订日期：      年    月   日</w:t>
      </w:r>
      <w:r/>
    </w:p>
    <w:p>
      <w:pPr>
        <w:ind w:left="0" w:firstLine="480"/>
        <w:jc w:val="center"/>
        <w:keepLines w:val="0"/>
        <w:keepNext w:val="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pPr>
      <w:r>
        <w:rPr>
          <w:rFonts w:hint="eastAsia" w:ascii="仿宋" w:hAnsi="仿宋" w:eastAsia="仿宋" w:cs="仿宋"/>
          <w:color w:val="auto"/>
          <w:sz w:val="24"/>
          <w:szCs w:val="24"/>
          <w:highlight w:val="none"/>
        </w:rPr>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宿迁市长期护理保险委托商保公司经办项目</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JSZC-321300-SQHS-G2025-0045</w:t>
      </w:r>
      <w:r/>
    </w:p>
    <w:p>
      <w:pPr>
        <w:pStyle w:val="1046"/>
        <w:ind w:firstLine="480"/>
        <w:keepLines w:val="0"/>
        <w:keepNext w:val="0"/>
        <w:pageBreakBefore w:val="0"/>
        <w:spacing w:line="520" w:lineRule="exact"/>
        <w:widowControl w:val="off"/>
        <w:rPr>
          <w:rStyle w:val="739"/>
          <w:rFonts w:hint="eastAsia" w:ascii="仿宋" w:hAnsi="仿宋" w:eastAsia="仿宋" w:cs="仿宋"/>
          <w:color w:val="auto"/>
          <w:sz w:val="24"/>
          <w:highlight w:val="none"/>
          <w:u w:val="single"/>
        </w:rPr>
      </w:pPr>
      <w:r>
        <w:rPr>
          <w:rStyle w:val="739"/>
          <w:rFonts w:hint="eastAsia" w:ascii="仿宋" w:hAnsi="仿宋" w:eastAsia="仿宋" w:cs="仿宋"/>
          <w:color w:val="auto"/>
          <w:sz w:val="24"/>
          <w:highlight w:val="none"/>
        </w:rPr>
        <w:t xml:space="preserve">甲方（采购单位）：</w:t>
      </w:r>
      <w:r>
        <w:rPr>
          <w:rStyle w:val="739"/>
          <w:rFonts w:hint="eastAsia" w:ascii="仿宋" w:hAnsi="仿宋" w:eastAsia="仿宋" w:cs="仿宋"/>
          <w:color w:val="auto"/>
          <w:sz w:val="24"/>
          <w:highlight w:val="none"/>
          <w:u w:val="single"/>
        </w:rPr>
        <w:t xml:space="preserve">                                   </w:t>
      </w:r>
      <w:r/>
    </w:p>
    <w:p>
      <w:pPr>
        <w:pStyle w:val="1046"/>
        <w:ind w:firstLine="480"/>
        <w:keepLines w:val="0"/>
        <w:keepNext w:val="0"/>
        <w:pageBreakBefore w:val="0"/>
        <w:spacing w:line="520" w:lineRule="exact"/>
        <w:widowControl w:val="off"/>
        <w:rPr>
          <w:rStyle w:val="739"/>
          <w:rFonts w:hint="eastAsia" w:ascii="仿宋" w:hAnsi="仿宋" w:eastAsia="仿宋" w:cs="仿宋"/>
          <w:color w:val="auto"/>
          <w:sz w:val="24"/>
          <w:highlight w:val="none"/>
          <w:u w:val="single"/>
        </w:rPr>
      </w:pPr>
      <w:r>
        <w:rPr>
          <w:rStyle w:val="739"/>
          <w:rFonts w:hint="eastAsia" w:ascii="仿宋" w:hAnsi="仿宋" w:eastAsia="仿宋" w:cs="仿宋"/>
          <w:color w:val="auto"/>
          <w:sz w:val="24"/>
          <w:highlight w:val="none"/>
        </w:rPr>
        <w:t xml:space="preserve">乙方（共保体）：1. </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rPr>
        <w:t xml:space="preserve">（第一中标人）</w:t>
      </w:r>
      <w:r/>
    </w:p>
    <w:p>
      <w:pPr>
        <w:numPr>
          <w:ilvl w:val="0"/>
          <w:numId w:val="0"/>
        </w:numPr>
        <w:ind w:left="2381" w:firstLine="0"/>
        <w:jc w:val="both"/>
        <w:keepLines w:val="0"/>
        <w:keepNext w:val="0"/>
        <w:pageBreakBefore w:val="0"/>
        <w:spacing w:line="360" w:lineRule="auto"/>
        <w:widowControl/>
        <w:rPr>
          <w:rStyle w:val="739"/>
          <w:rFonts w:hint="eastAsia" w:ascii="仿宋" w:hAnsi="仿宋" w:eastAsia="仿宋" w:cs="仿宋"/>
          <w:color w:val="auto"/>
          <w:sz w:val="24"/>
          <w:szCs w:val="22"/>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2"/>
          <w:highlight w:val="none"/>
          <w:lang w:val="en-US" w:eastAsia="zh-CN" w:bidi="ar-SA"/>
        </w:rPr>
        <w:t xml:space="preserve">2.</w:t>
      </w:r>
      <w:r>
        <w:rPr>
          <w:rStyle w:val="739"/>
          <w:rFonts w:hint="eastAsia" w:ascii="仿宋" w:hAnsi="仿宋" w:eastAsia="仿宋" w:cs="仿宋"/>
          <w:color w:val="auto"/>
          <w:sz w:val="24"/>
          <w:szCs w:val="22"/>
          <w:highlight w:val="none"/>
          <w:u w:val="single"/>
          <w:lang w:val="en-US" w:eastAsia="zh-CN" w:bidi="ar-SA"/>
        </w:rPr>
        <w:t xml:space="preserve">                                </w:t>
      </w:r>
      <w:r>
        <w:rPr>
          <w:rStyle w:val="739"/>
          <w:rFonts w:hint="eastAsia" w:ascii="仿宋" w:hAnsi="仿宋" w:eastAsia="仿宋" w:cs="仿宋"/>
          <w:color w:val="auto"/>
          <w:sz w:val="24"/>
          <w:szCs w:val="22"/>
          <w:highlight w:val="none"/>
          <w:lang w:val="en-US" w:eastAsia="zh-CN" w:bidi="ar-SA"/>
        </w:rPr>
        <w:t xml:space="preserve">（第二中标人）</w:t>
      </w:r>
      <w:r/>
    </w:p>
    <w:p>
      <w:pPr>
        <w:numPr>
          <w:ilvl w:val="0"/>
          <w:numId w:val="0"/>
        </w:numPr>
        <w:ind w:left="2381" w:firstLine="0"/>
        <w:jc w:val="both"/>
        <w:keepLines w:val="0"/>
        <w:keepNext w:val="0"/>
        <w:pageBreakBefore w:val="0"/>
        <w:spacing w:line="360" w:lineRule="auto"/>
        <w:widowControl/>
        <w:rPr>
          <w:rStyle w:val="739"/>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bidi="ar"/>
        </w:rPr>
        <w:t xml:space="preserve">3.</w:t>
      </w:r>
      <w:r>
        <w:rPr>
          <w:rStyle w:val="739"/>
          <w:rFonts w:hint="eastAsia" w:ascii="仿宋" w:hAnsi="仿宋" w:eastAsia="仿宋" w:cs="仿宋"/>
          <w:color w:val="auto"/>
          <w:sz w:val="24"/>
          <w:szCs w:val="22"/>
          <w:highlight w:val="none"/>
          <w:u w:val="single"/>
          <w:lang w:val="en-US" w:eastAsia="zh-CN" w:bidi="ar-SA"/>
        </w:rPr>
        <w:t xml:space="preserve">                                </w:t>
      </w:r>
      <w:r>
        <w:rPr>
          <w:rStyle w:val="739"/>
          <w:rFonts w:hint="eastAsia" w:ascii="仿宋" w:hAnsi="仿宋" w:eastAsia="仿宋" w:cs="仿宋"/>
          <w:color w:val="auto"/>
          <w:sz w:val="24"/>
          <w:szCs w:val="22"/>
          <w:highlight w:val="none"/>
          <w:lang w:val="en-US" w:eastAsia="zh-CN" w:bidi="ar-SA"/>
        </w:rPr>
        <w:t xml:space="preserve">（第三中标人）</w:t>
      </w:r>
      <w:r/>
    </w:p>
    <w:p>
      <w:pPr>
        <w:numPr>
          <w:ilvl w:val="0"/>
          <w:numId w:val="0"/>
        </w:numPr>
        <w:ind w:left="2381" w:firstLine="0"/>
        <w:jc w:val="both"/>
        <w:keepLines w:val="0"/>
        <w:keepNext w:val="0"/>
        <w:pageBreakBefore w:val="0"/>
        <w:spacing w:line="360" w:lineRule="auto"/>
        <w:widowControl/>
        <w:rPr>
          <w:rStyle w:val="739"/>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bidi="ar"/>
        </w:rPr>
        <w:t xml:space="preserve">4.</w:t>
      </w:r>
      <w:r>
        <w:rPr>
          <w:rStyle w:val="739"/>
          <w:rFonts w:hint="eastAsia" w:ascii="仿宋" w:hAnsi="仿宋" w:eastAsia="仿宋" w:cs="仿宋"/>
          <w:color w:val="auto"/>
          <w:sz w:val="24"/>
          <w:szCs w:val="22"/>
          <w:highlight w:val="none"/>
          <w:u w:val="single"/>
          <w:lang w:val="en-US" w:eastAsia="zh-CN" w:bidi="ar-SA"/>
        </w:rPr>
        <w:t xml:space="preserve">                                </w:t>
      </w:r>
      <w:r>
        <w:rPr>
          <w:rStyle w:val="739"/>
          <w:rFonts w:hint="eastAsia" w:ascii="仿宋" w:hAnsi="仿宋" w:eastAsia="仿宋" w:cs="仿宋"/>
          <w:color w:val="auto"/>
          <w:sz w:val="24"/>
          <w:szCs w:val="22"/>
          <w:highlight w:val="none"/>
          <w:lang w:val="en-US" w:eastAsia="zh-CN" w:bidi="ar-SA"/>
        </w:rPr>
        <w:t xml:space="preserve">（第四中标人）</w:t>
      </w:r>
      <w:r/>
    </w:p>
    <w:p>
      <w:pPr>
        <w:numPr>
          <w:ilvl w:val="0"/>
          <w:numId w:val="0"/>
        </w:numPr>
        <w:ind w:left="2381" w:firstLine="0"/>
        <w:jc w:val="both"/>
        <w:keepLines w:val="0"/>
        <w:keepNext w:val="0"/>
        <w:pageBreakBefore w:val="0"/>
        <w:spacing w:line="360" w:lineRule="auto"/>
        <w:widowControl/>
        <w:rPr>
          <w:rStyle w:val="739"/>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bidi="ar"/>
        </w:rPr>
        <w:t xml:space="preserve">5.</w:t>
      </w:r>
      <w:r>
        <w:rPr>
          <w:rStyle w:val="739"/>
          <w:rFonts w:hint="eastAsia" w:ascii="仿宋" w:hAnsi="仿宋" w:eastAsia="仿宋" w:cs="仿宋"/>
          <w:color w:val="auto"/>
          <w:sz w:val="24"/>
          <w:szCs w:val="22"/>
          <w:highlight w:val="none"/>
          <w:u w:val="single"/>
          <w:lang w:val="en-US" w:eastAsia="zh-CN" w:bidi="ar-SA"/>
        </w:rPr>
        <w:t xml:space="preserve">                                </w:t>
      </w:r>
      <w:r>
        <w:rPr>
          <w:rStyle w:val="739"/>
          <w:rFonts w:hint="eastAsia" w:ascii="仿宋" w:hAnsi="仿宋" w:eastAsia="仿宋" w:cs="仿宋"/>
          <w:color w:val="auto"/>
          <w:sz w:val="24"/>
          <w:szCs w:val="22"/>
          <w:highlight w:val="none"/>
          <w:lang w:val="en-US" w:eastAsia="zh-CN" w:bidi="ar-SA"/>
        </w:rPr>
        <w:t xml:space="preserve">（第五中标人）</w:t>
      </w:r>
      <w:r/>
    </w:p>
    <w:p>
      <w:pPr>
        <w:numPr>
          <w:ilvl w:val="0"/>
          <w:numId w:val="0"/>
        </w:numPr>
        <w:ind w:left="2381" w:firstLine="0"/>
        <w:jc w:val="both"/>
        <w:keepLines w:val="0"/>
        <w:keepNext w:val="0"/>
        <w:pageBreakBefore w:val="0"/>
        <w:spacing w:line="360" w:lineRule="auto"/>
        <w:widowControl/>
        <w:rPr>
          <w:rStyle w:val="739"/>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bidi="ar"/>
        </w:rPr>
        <w:t xml:space="preserve">6.</w:t>
      </w:r>
      <w:r>
        <w:rPr>
          <w:rStyle w:val="739"/>
          <w:rFonts w:hint="eastAsia" w:ascii="仿宋" w:hAnsi="仿宋" w:eastAsia="仿宋" w:cs="仿宋"/>
          <w:color w:val="auto"/>
          <w:sz w:val="24"/>
          <w:szCs w:val="22"/>
          <w:highlight w:val="none"/>
          <w:u w:val="single"/>
          <w:lang w:val="en-US" w:eastAsia="zh-CN" w:bidi="ar-SA"/>
        </w:rPr>
        <w:t xml:space="preserve">                                </w:t>
      </w:r>
      <w:r>
        <w:rPr>
          <w:rStyle w:val="739"/>
          <w:rFonts w:hint="eastAsia" w:ascii="仿宋" w:hAnsi="仿宋" w:eastAsia="仿宋" w:cs="仿宋"/>
          <w:color w:val="auto"/>
          <w:sz w:val="24"/>
          <w:szCs w:val="22"/>
          <w:highlight w:val="none"/>
          <w:lang w:val="en-US" w:eastAsia="zh-CN" w:bidi="ar-SA"/>
        </w:rPr>
        <w:t xml:space="preserve">（第六中标人）</w:t>
      </w:r>
      <w:r/>
    </w:p>
    <w:p>
      <w:pPr>
        <w:numPr>
          <w:ilvl w:val="0"/>
          <w:numId w:val="0"/>
        </w:numPr>
        <w:ind w:left="2381" w:firstLine="0"/>
        <w:jc w:val="both"/>
        <w:keepLines w:val="0"/>
        <w:keepNext w:val="0"/>
        <w:pageBreakBefore w:val="0"/>
        <w:spacing w:line="360" w:lineRule="auto"/>
        <w:widowControl/>
        <w:rPr>
          <w:rStyle w:val="739"/>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bidi="ar"/>
        </w:rPr>
        <w:t xml:space="preserve">7.</w:t>
      </w:r>
      <w:r>
        <w:rPr>
          <w:rStyle w:val="739"/>
          <w:rFonts w:hint="eastAsia" w:ascii="仿宋" w:hAnsi="仿宋" w:eastAsia="仿宋" w:cs="仿宋"/>
          <w:color w:val="auto"/>
          <w:sz w:val="24"/>
          <w:szCs w:val="22"/>
          <w:highlight w:val="none"/>
          <w:u w:val="single"/>
          <w:lang w:val="en-US" w:eastAsia="zh-CN" w:bidi="ar-SA"/>
        </w:rPr>
        <w:t xml:space="preserve">                                </w:t>
      </w:r>
      <w:r>
        <w:rPr>
          <w:rStyle w:val="739"/>
          <w:rFonts w:hint="eastAsia" w:ascii="仿宋" w:hAnsi="仿宋" w:eastAsia="仿宋" w:cs="仿宋"/>
          <w:color w:val="auto"/>
          <w:sz w:val="24"/>
          <w:szCs w:val="22"/>
          <w:highlight w:val="none"/>
          <w:lang w:val="en-US" w:eastAsia="zh-CN" w:bidi="ar-SA"/>
        </w:rPr>
        <w:t xml:space="preserve">（第七中标人）</w:t>
      </w:r>
      <w:r/>
    </w:p>
    <w:p>
      <w:pPr>
        <w:numPr>
          <w:ilvl w:val="0"/>
          <w:numId w:val="0"/>
        </w:numPr>
        <w:ind w:left="2381" w:firstLine="0"/>
        <w:jc w:val="both"/>
        <w:keepLines w:val="0"/>
        <w:keepNext w:val="0"/>
        <w:pageBreakBefore w:val="0"/>
        <w:spacing w:line="360" w:lineRule="auto"/>
        <w:widowControl/>
        <w:rPr>
          <w:rStyle w:val="739"/>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bidi="ar"/>
        </w:rPr>
        <w:t xml:space="preserve">8.</w:t>
      </w:r>
      <w:r>
        <w:rPr>
          <w:rStyle w:val="739"/>
          <w:rFonts w:hint="eastAsia" w:ascii="仿宋" w:hAnsi="仿宋" w:eastAsia="仿宋" w:cs="仿宋"/>
          <w:color w:val="auto"/>
          <w:sz w:val="24"/>
          <w:szCs w:val="22"/>
          <w:highlight w:val="none"/>
          <w:u w:val="single"/>
          <w:lang w:val="en-US" w:eastAsia="zh-CN" w:bidi="ar-SA"/>
        </w:rPr>
        <w:t xml:space="preserve">                                </w:t>
      </w:r>
      <w:r>
        <w:rPr>
          <w:rStyle w:val="739"/>
          <w:rFonts w:hint="eastAsia" w:ascii="仿宋" w:hAnsi="仿宋" w:eastAsia="仿宋" w:cs="仿宋"/>
          <w:color w:val="auto"/>
          <w:sz w:val="24"/>
          <w:szCs w:val="22"/>
          <w:highlight w:val="none"/>
          <w:lang w:val="en-US" w:eastAsia="zh-CN" w:bidi="ar-SA"/>
        </w:rPr>
        <w:t xml:space="preserve">（第八中标人）</w:t>
      </w:r>
      <w:r/>
    </w:p>
    <w:p>
      <w:pPr>
        <w:numPr>
          <w:ilvl w:val="0"/>
          <w:numId w:val="0"/>
        </w:numPr>
        <w:ind w:left="2381" w:firstLine="0"/>
        <w:jc w:val="both"/>
        <w:keepLines w:val="0"/>
        <w:keepNext w:val="0"/>
        <w:pageBreakBefore w:val="0"/>
        <w:spacing w:line="360" w:lineRule="auto"/>
        <w:widowControl/>
        <w:rPr>
          <w:rStyle w:val="739"/>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bidi="ar"/>
        </w:rPr>
        <w:t xml:space="preserve">9.</w:t>
      </w:r>
      <w:r>
        <w:rPr>
          <w:rStyle w:val="739"/>
          <w:rFonts w:hint="eastAsia" w:ascii="仿宋" w:hAnsi="仿宋" w:eastAsia="仿宋" w:cs="仿宋"/>
          <w:color w:val="auto"/>
          <w:sz w:val="24"/>
          <w:szCs w:val="22"/>
          <w:highlight w:val="none"/>
          <w:u w:val="single"/>
          <w:lang w:val="en-US" w:eastAsia="zh-CN" w:bidi="ar-SA"/>
        </w:rPr>
        <w:t xml:space="preserve">                                </w:t>
      </w:r>
      <w:r>
        <w:rPr>
          <w:rStyle w:val="739"/>
          <w:rFonts w:hint="eastAsia" w:ascii="仿宋" w:hAnsi="仿宋" w:eastAsia="仿宋" w:cs="仿宋"/>
          <w:color w:val="auto"/>
          <w:sz w:val="24"/>
          <w:szCs w:val="22"/>
          <w:highlight w:val="none"/>
          <w:lang w:val="en-US" w:eastAsia="zh-CN" w:bidi="ar-SA"/>
        </w:rPr>
        <w:t xml:space="preserve">（第九中标人）</w:t>
      </w:r>
      <w:r/>
    </w:p>
    <w:p>
      <w:pPr>
        <w:numPr>
          <w:ilvl w:val="0"/>
          <w:numId w:val="0"/>
        </w:numPr>
        <w:ind w:left="2381" w:firstLine="0"/>
        <w:jc w:val="both"/>
        <w:keepLines w:val="0"/>
        <w:keepNext w:val="0"/>
        <w:pageBreakBefore w:val="0"/>
        <w:spacing w:line="360" w:lineRule="auto"/>
        <w:widowControl/>
        <w:rPr>
          <w:rStyle w:val="739"/>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bidi="ar"/>
        </w:rPr>
        <w:t xml:space="preserve">10.</w:t>
      </w:r>
      <w:r>
        <w:rPr>
          <w:rStyle w:val="739"/>
          <w:rFonts w:hint="eastAsia" w:ascii="仿宋" w:hAnsi="仿宋" w:eastAsia="仿宋" w:cs="仿宋"/>
          <w:color w:val="auto"/>
          <w:sz w:val="24"/>
          <w:szCs w:val="22"/>
          <w:highlight w:val="none"/>
          <w:u w:val="single"/>
          <w:lang w:val="en-US" w:eastAsia="zh-CN" w:bidi="ar-SA"/>
        </w:rPr>
        <w:t xml:space="preserve">                               </w:t>
      </w:r>
      <w:r>
        <w:rPr>
          <w:rStyle w:val="739"/>
          <w:rFonts w:hint="eastAsia" w:ascii="仿宋" w:hAnsi="仿宋" w:eastAsia="仿宋" w:cs="仿宋"/>
          <w:color w:val="auto"/>
          <w:sz w:val="24"/>
          <w:szCs w:val="22"/>
          <w:highlight w:val="none"/>
          <w:lang w:val="en-US" w:eastAsia="zh-CN" w:bidi="ar-SA"/>
        </w:rPr>
        <w:t xml:space="preserve">（第十中标人）</w:t>
      </w:r>
      <w:r/>
    </w:p>
    <w:p>
      <w:pPr>
        <w:pStyle w:val="1048"/>
        <w:rPr>
          <w:rStyle w:val="739"/>
          <w:rFonts w:hint="eastAsia" w:eastAsia="宋体" w:cs="Times New Roman"/>
          <w:color w:val="auto"/>
          <w:highlight w:val="none"/>
        </w:rPr>
      </w:pPr>
      <w:r>
        <w:rPr>
          <w:rFonts w:hint="eastAsia" w:eastAsia="宋体" w:cs="Times New Roman"/>
          <w:color w:val="auto"/>
          <w:highlight w:val="none"/>
        </w:rPr>
      </w:r>
      <w:r/>
    </w:p>
    <w:p>
      <w:pPr>
        <w:ind w:firstLine="480"/>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甲、乙双方</w:t>
      </w:r>
      <w:r>
        <w:rPr>
          <w:rStyle w:val="739"/>
          <w:rFonts w:hint="eastAsia" w:ascii="仿宋" w:hAnsi="仿宋" w:eastAsia="仿宋" w:cs="仿宋"/>
          <w:color w:val="auto"/>
          <w:sz w:val="24"/>
          <w:szCs w:val="24"/>
          <w:highlight w:val="none"/>
          <w:lang w:bidi="ar"/>
        </w:rPr>
        <w:t xml:space="preserve">依照《中华人民共和国政府采购法》及其实施条例、《中华人民共和国民法典》、《国家医保局办公室民政部办公厅关于印发&lt;长期护理失能等级评估标准(试行)&gt;的通知》(医保办发〔2021〕37号)、《宿迁市人民政府关于建立长期护理保险制度的实施意见》(宿政规发〔2023〕6号)、《关于印发&lt;宿迁市长期护理保险实施细则&gt;的通知》（宿医保规〔2023〕1号）等有关文件规定，</w:t>
      </w:r>
      <w:r>
        <w:rPr>
          <w:rStyle w:val="739"/>
          <w:rFonts w:hint="eastAsia" w:ascii="仿宋" w:hAnsi="仿宋" w:eastAsia="仿宋" w:cs="仿宋"/>
          <w:color w:val="auto"/>
          <w:sz w:val="24"/>
          <w:szCs w:val="24"/>
          <w:highlight w:val="none"/>
        </w:rPr>
        <w:t xml:space="preserve">遵循平等、自愿、公平和诚实信用的原则，</w:t>
      </w:r>
      <w:r>
        <w:rPr>
          <w:rFonts w:hint="eastAsia" w:ascii="仿宋" w:hAnsi="仿宋" w:eastAsia="仿宋" w:cs="仿宋"/>
          <w:color w:val="auto"/>
          <w:sz w:val="24"/>
          <w:szCs w:val="24"/>
          <w:highlight w:val="none"/>
          <w:lang w:val="en-US" w:eastAsia="zh-CN"/>
        </w:rPr>
        <w:t xml:space="preserve">就</w:t>
      </w:r>
      <w:r>
        <w:rPr>
          <w:rFonts w:hint="eastAsia" w:ascii="仿宋" w:hAnsi="仿宋" w:eastAsia="仿宋" w:cs="仿宋"/>
          <w:color w:val="auto"/>
          <w:sz w:val="24"/>
          <w:szCs w:val="24"/>
          <w:highlight w:val="none"/>
          <w:u w:val="single"/>
          <w:lang w:eastAsia="zh-CN"/>
        </w:rPr>
        <w:t xml:space="preserve">宿迁市长期护理保险委托商保公司经办项目</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JSZC-321300-SQHS-G2025-0045</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公开招标</w:t>
      </w:r>
      <w:r>
        <w:rPr>
          <w:rFonts w:hint="eastAsia" w:ascii="仿宋" w:hAnsi="仿宋" w:eastAsia="仿宋" w:cs="仿宋"/>
          <w:color w:val="auto"/>
          <w:sz w:val="24"/>
          <w:szCs w:val="24"/>
          <w:highlight w:val="none"/>
        </w:rPr>
        <w:t xml:space="preserve">的结果，签署本合同。</w:t>
      </w:r>
      <w:r/>
    </w:p>
    <w:p>
      <w:pPr>
        <w:ind w:left="0" w:firstLine="482"/>
        <w:jc w:val="both"/>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一、合同内容</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 标的名称：宿迁市长期护理保险委托商保公司经办项目</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为贯彻落实党的二十大关于建立长期护理保险制度的决策部署，根据《市政府关于建立长期护理保险制度的实施意见》（宿政规发〔2023〕6号）要求，宿迁市长期护理保险制度（以下简称“长护险”）实行市级统筹，全市统一基金管理、统一经办服务，统一招标确定承办机构。长护险承办服务费采购人留存用于考核部分，根据各承办机构经办服务的每期末考核结果进行拨付。由于各期参保人数中途可能发生变动，以各期实际划拨的保费为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）按照</w:t>
      </w:r>
      <w:r>
        <w:rPr>
          <w:rFonts w:hint="eastAsia" w:ascii="仿宋" w:hAnsi="仿宋" w:eastAsia="仿宋" w:cs="仿宋"/>
          <w:color w:val="auto"/>
          <w:sz w:val="24"/>
          <w:szCs w:val="24"/>
          <w:highlight w:val="none"/>
          <w:lang w:eastAsia="zh-CN"/>
        </w:rPr>
        <w:t xml:space="preserve">承保份额</w:t>
      </w:r>
      <w:r>
        <w:rPr>
          <w:rFonts w:hint="eastAsia" w:ascii="仿宋" w:hAnsi="仿宋" w:eastAsia="仿宋" w:cs="仿宋"/>
          <w:color w:val="auto"/>
          <w:sz w:val="24"/>
          <w:szCs w:val="24"/>
          <w:highlight w:val="none"/>
          <w:lang w:eastAsia="zh-CN"/>
        </w:rPr>
        <w:t xml:space="preserve">分为十个采购包确定保险机构作为本项目的承保人：</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分包一：最高限价为1929.20万元，承保份额为53%；</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分包二：最高限价为982.80万元，承保份额为27%；</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分包三：最高限价为209.664万元，承保份额为5.76%；</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分包四：最高限价为139.776万元，承保份额为3.84%；</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分包五：最高限价为91.00万元，承保份额为2.50%；</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分包六：最高限价为69.524万元，承保份额为1.91%；</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分包七：最高限价为66.612万元，承保份额为1.83%；</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分包八：最高限价为60.788万元，承保份额为1.67%；</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分包九：最高限价为46.228万元，承保份额为1.27%；</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分包十：最高限价为44.408万元，承保份额为1.22%。</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（二）基本原则</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坚持以人为本，着力解决重度失能人员长期护理保障问题。</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坚持独立运行，独立险种，独立设计，统筹推进。</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坚持保障基本，低水平起步，以收定支，合理确定保障范围和待遇标准。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坚持责任分担，遵循权利义务对等，多渠道筹资，合理划分筹资责任和保障责任。</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坚持市级统筹，全市统一待遇政策、统一基金管理、统一经办管理、统一信息系统、统一监督管理。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（三）筹资标准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长护险筹资标准：基金由个人缴费、职工基本医保统筹基金划拨两部分组成，其中个人缴费标准为每人每年20元、医保统筹基金划拨每人每年20元。企事业单位、慈善机构等社会团体和个人给予捐助的资金，纳入长护险基金管理。个人缴纳部分，每年1月底前由经办机构从职工医保个人账户中一次性划转当年度参保费用。个人账户资金余额不足时，从次月账户划入额度中抵扣。年度内新增或中断后续保人员，在首次个人账户划拨时，按全年标准一次缴清当年费用。参加职工医保的灵活就业人员，参照在职职工执行。</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医保统筹基金筹集部分，每年按照参加长护险的人数列入基金支出预算，年初划入长护险基金专户。</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（四）承保份额</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根据《市政府关于建立长期护理保险制度的实施意见》（宿政规发〔2023〕6号）要求，宿迁市长期护理保险制度（以下简称“长护险”）实行市级统筹，全市统一基金管理、统一经办服务，统一招标确定承办机构。承办方式实行共保体模式，由不超过10个商保公司共同组成长护险共保体。按照每个采购包投标人得分顺序确定第1—10中标人。</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其中，第一中标人为主承保单位，负责做好长护险共保体牵头、各个区域长护险中心、信息系统建设等方面工作；其余中标人为次承保单位，按得分排序，承保相应份额（具体份额占比详见下表），并根据中标份额承担相应人力物力等资源配置，配合主承保单位做好长护险各项工作。</w:t>
      </w:r>
      <w:r/>
    </w:p>
    <w:tbl>
      <w:tblPr>
        <w:tblStyle w:val="740"/>
        <w:tblpPr w:horzAnchor="text" w:tblpXSpec="center" w:vertAnchor="text" w:tblpY="1" w:leftFromText="180" w:topFromText="0" w:rightFromText="180" w:bottomFromText="0"/>
        <w:tblW w:w="9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4"/>
        <w:gridCol w:w="2674"/>
        <w:gridCol w:w="2485"/>
        <w:gridCol w:w="2485"/>
      </w:tblGrid>
      <w:tr>
        <w:trPr>
          <w:jc w:val="center"/>
          <w:trHeight w:val="633" w:hRule="exact"/>
        </w:trPr>
        <w:tc>
          <w:tcPr>
            <w:tcW w:w="1574" w:type="dxa"/>
            <w:vAlign w:val="center"/>
            <w:textDirection w:val="lrTb"/>
            <w:noWrap/>
          </w:tcPr>
          <w:p>
            <w:pPr>
              <w:pStyle w:val="1057"/>
              <w:ind w:left="0" w:firstLine="0"/>
              <w:jc w:val="center"/>
              <w:spacing w:before="0" w:after="0" w:line="500" w:lineRule="exact"/>
              <w:rPr>
                <w:rStyle w:val="739"/>
                <w:rFonts w:hint="eastAsia" w:ascii="仿宋" w:hAnsi="仿宋" w:eastAsia="仿宋" w:cs="仿宋"/>
                <w:b/>
                <w:bCs/>
                <w:color w:val="auto"/>
                <w:sz w:val="24"/>
                <w:szCs w:val="24"/>
                <w:highlight w:val="none"/>
                <w:lang w:val="en-US" w:eastAsia="zh-CN"/>
              </w:rPr>
            </w:pPr>
            <w:r>
              <w:rPr>
                <w:rStyle w:val="739"/>
                <w:rFonts w:hint="eastAsia" w:ascii="仿宋" w:hAnsi="仿宋" w:eastAsia="仿宋" w:cs="仿宋"/>
                <w:b/>
                <w:bCs/>
                <w:color w:val="auto"/>
                <w:sz w:val="24"/>
                <w:szCs w:val="24"/>
                <w:highlight w:val="none"/>
                <w:lang w:val="en-US" w:eastAsia="zh-CN"/>
              </w:rPr>
              <w:t xml:space="preserve">采购包序号</w:t>
            </w:r>
            <w:r/>
          </w:p>
        </w:tc>
        <w:tc>
          <w:tcPr>
            <w:tcW w:w="2674" w:type="dxa"/>
            <w:vAlign w:val="center"/>
            <w:textDirection w:val="lrTb"/>
            <w:noWrap/>
          </w:tcPr>
          <w:p>
            <w:pPr>
              <w:pStyle w:val="1057"/>
              <w:ind w:left="0" w:firstLine="0"/>
              <w:jc w:val="center"/>
              <w:spacing w:before="0" w:after="0" w:line="500" w:lineRule="exact"/>
              <w:rPr>
                <w:rStyle w:val="739"/>
                <w:rFonts w:hint="eastAsia" w:ascii="仿宋" w:hAnsi="仿宋" w:eastAsia="仿宋" w:cs="仿宋"/>
                <w:b/>
                <w:bCs/>
                <w:color w:val="auto"/>
                <w:sz w:val="24"/>
                <w:szCs w:val="24"/>
                <w:highlight w:val="none"/>
                <w:lang w:val="en-US" w:eastAsia="zh-CN"/>
              </w:rPr>
            </w:pPr>
            <w:r>
              <w:rPr>
                <w:rStyle w:val="739"/>
                <w:rFonts w:hint="eastAsia" w:ascii="仿宋" w:hAnsi="仿宋" w:eastAsia="仿宋" w:cs="仿宋"/>
                <w:b/>
                <w:bCs/>
                <w:color w:val="auto"/>
                <w:sz w:val="24"/>
                <w:szCs w:val="24"/>
                <w:highlight w:val="none"/>
                <w:lang w:val="en-US" w:eastAsia="zh-CN"/>
              </w:rPr>
              <w:t xml:space="preserve">中标人</w:t>
            </w:r>
            <w:r/>
          </w:p>
        </w:tc>
        <w:tc>
          <w:tcPr>
            <w:tcW w:w="2485" w:type="dxa"/>
            <w:vAlign w:val="center"/>
            <w:textDirection w:val="lrTb"/>
            <w:noWrap/>
          </w:tcPr>
          <w:p>
            <w:pPr>
              <w:pStyle w:val="1057"/>
              <w:ind w:left="0" w:firstLine="0"/>
              <w:jc w:val="center"/>
              <w:spacing w:before="0" w:after="0" w:line="500" w:lineRule="exact"/>
              <w:rPr>
                <w:rStyle w:val="739"/>
                <w:rFonts w:hint="default" w:ascii="仿宋" w:hAnsi="仿宋" w:eastAsia="仿宋" w:cs="仿宋"/>
                <w:b/>
                <w:bCs/>
                <w:color w:val="auto"/>
                <w:sz w:val="24"/>
                <w:szCs w:val="24"/>
                <w:highlight w:val="none"/>
                <w:lang w:val="en-US" w:eastAsia="zh-CN"/>
              </w:rPr>
            </w:pPr>
            <w:r>
              <w:rPr>
                <w:rStyle w:val="739"/>
                <w:rFonts w:hint="eastAsia" w:ascii="仿宋" w:hAnsi="仿宋" w:eastAsia="仿宋" w:cs="仿宋"/>
                <w:b/>
                <w:bCs/>
                <w:color w:val="auto"/>
                <w:sz w:val="24"/>
                <w:szCs w:val="24"/>
                <w:highlight w:val="none"/>
                <w:lang w:val="en-US" w:eastAsia="zh-CN"/>
              </w:rPr>
              <w:t xml:space="preserve">2026年度承保份额</w:t>
            </w:r>
            <w:r/>
          </w:p>
        </w:tc>
        <w:tc>
          <w:tcPr>
            <w:tcW w:w="2485" w:type="dxa"/>
            <w:vAlign w:val="center"/>
            <w:textDirection w:val="lrTb"/>
            <w:noWrap/>
          </w:tcPr>
          <w:p>
            <w:pPr>
              <w:pStyle w:val="1057"/>
              <w:ind w:left="0" w:firstLine="0"/>
              <w:jc w:val="center"/>
              <w:spacing w:before="0" w:after="0" w:line="500" w:lineRule="exact"/>
              <w:rPr>
                <w:rStyle w:val="739"/>
                <w:rFonts w:hint="eastAsia" w:ascii="仿宋" w:hAnsi="仿宋" w:eastAsia="仿宋" w:cs="仿宋"/>
                <w:b/>
                <w:bCs/>
                <w:color w:val="auto"/>
                <w:sz w:val="24"/>
                <w:szCs w:val="24"/>
                <w:highlight w:val="none"/>
                <w:lang w:val="en-US" w:eastAsia="zh-CN"/>
              </w:rPr>
            </w:pPr>
            <w:r>
              <w:rPr>
                <w:rStyle w:val="739"/>
                <w:rFonts w:hint="eastAsia" w:ascii="仿宋" w:hAnsi="仿宋" w:eastAsia="仿宋" w:cs="仿宋"/>
                <w:b/>
                <w:bCs/>
                <w:color w:val="auto"/>
                <w:sz w:val="24"/>
                <w:szCs w:val="24"/>
                <w:highlight w:val="none"/>
                <w:lang w:val="en-US" w:eastAsia="zh-CN"/>
              </w:rPr>
              <w:t xml:space="preserve">参保人数</w:t>
            </w:r>
            <w:r/>
          </w:p>
        </w:tc>
      </w:tr>
      <w:tr>
        <w:trPr>
          <w:jc w:val="center"/>
          <w:trHeight w:val="496" w:hRule="exact"/>
        </w:trPr>
        <w:tc>
          <w:tcPr>
            <w:tcW w:w="1574" w:type="dxa"/>
            <w:vAlign w:val="center"/>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Style w:val="739"/>
                <w:rFonts w:hint="eastAsia" w:ascii="仿宋" w:hAnsi="仿宋" w:eastAsia="仿宋" w:cs="仿宋"/>
                <w:b w:val="0"/>
                <w:bCs w:val="0"/>
                <w:color w:val="auto"/>
                <w:sz w:val="24"/>
                <w:szCs w:val="24"/>
                <w:highlight w:val="none"/>
                <w:lang w:val="en-US" w:eastAsia="zh-CN"/>
              </w:rPr>
              <w:t xml:space="preserve">1</w:t>
            </w:r>
            <w:r/>
          </w:p>
        </w:tc>
        <w:tc>
          <w:tcPr>
            <w:tcW w:w="2674" w:type="dxa"/>
            <w:vAlign w:val="center"/>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Style w:val="739"/>
                <w:rFonts w:hint="eastAsia" w:ascii="仿宋" w:hAnsi="仿宋" w:eastAsia="仿宋" w:cs="仿宋"/>
                <w:b w:val="0"/>
                <w:bCs w:val="0"/>
                <w:color w:val="auto"/>
                <w:sz w:val="24"/>
                <w:szCs w:val="24"/>
                <w:highlight w:val="none"/>
                <w:lang w:val="en-US" w:eastAsia="zh-CN"/>
              </w:rPr>
              <w:t xml:space="preserve">第一中标人</w:t>
            </w:r>
            <w:r/>
          </w:p>
        </w:tc>
        <w:tc>
          <w:tcPr>
            <w:tcW w:w="2485" w:type="dxa"/>
            <w:vAlign w:val="center"/>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Style w:val="739"/>
                <w:rFonts w:hint="eastAsia" w:ascii="仿宋" w:hAnsi="仿宋" w:eastAsia="仿宋" w:cs="仿宋"/>
                <w:b w:val="0"/>
                <w:bCs w:val="0"/>
                <w:color w:val="auto"/>
                <w:sz w:val="24"/>
                <w:szCs w:val="24"/>
                <w:highlight w:val="none"/>
                <w:lang w:val="en-US" w:eastAsia="zh-CN"/>
              </w:rPr>
              <w:t xml:space="preserve">53.00%</w:t>
            </w:r>
            <w:r/>
          </w:p>
        </w:tc>
        <w:tc>
          <w:tcPr>
            <w:tcW w:w="2485" w:type="dxa"/>
            <w:vAlign w:val="center"/>
            <w:vMerge w:val="restart"/>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Style w:val="739"/>
                <w:rFonts w:hint="eastAsia" w:ascii="仿宋" w:hAnsi="仿宋" w:eastAsia="仿宋" w:cs="仿宋"/>
                <w:b w:val="0"/>
                <w:bCs w:val="0"/>
                <w:color w:val="auto"/>
                <w:sz w:val="24"/>
                <w:szCs w:val="24"/>
                <w:highlight w:val="none"/>
                <w:lang w:val="en-US" w:eastAsia="zh-CN"/>
              </w:rPr>
              <w:t xml:space="preserve">职工基本医保参保人数为910000人(不包含苏宿园区参保人员)</w:t>
            </w:r>
            <w:r/>
          </w:p>
        </w:tc>
      </w:tr>
      <w:tr>
        <w:trPr>
          <w:jc w:val="center"/>
          <w:trHeight w:val="496" w:hRule="exact"/>
        </w:trPr>
        <w:tc>
          <w:tcPr>
            <w:tcW w:w="1574" w:type="dxa"/>
            <w:vAlign w:val="center"/>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Style w:val="739"/>
                <w:rFonts w:hint="eastAsia" w:ascii="仿宋" w:hAnsi="仿宋" w:eastAsia="仿宋" w:cs="仿宋"/>
                <w:b w:val="0"/>
                <w:bCs w:val="0"/>
                <w:color w:val="auto"/>
                <w:sz w:val="24"/>
                <w:szCs w:val="24"/>
                <w:highlight w:val="none"/>
                <w:lang w:val="en-US" w:eastAsia="zh-CN"/>
              </w:rPr>
              <w:t xml:space="preserve">2</w:t>
            </w:r>
            <w:r/>
          </w:p>
        </w:tc>
        <w:tc>
          <w:tcPr>
            <w:tcW w:w="2674" w:type="dxa"/>
            <w:vAlign w:val="center"/>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Style w:val="739"/>
                <w:rFonts w:hint="eastAsia" w:ascii="仿宋" w:hAnsi="仿宋" w:eastAsia="仿宋" w:cs="仿宋"/>
                <w:b w:val="0"/>
                <w:bCs w:val="0"/>
                <w:color w:val="auto"/>
                <w:sz w:val="24"/>
                <w:szCs w:val="24"/>
                <w:highlight w:val="none"/>
                <w:lang w:val="en-US" w:eastAsia="zh-CN"/>
              </w:rPr>
              <w:t xml:space="preserve">第二中标人</w:t>
            </w:r>
            <w:r/>
          </w:p>
        </w:tc>
        <w:tc>
          <w:tcPr>
            <w:tcW w:w="2485" w:type="dxa"/>
            <w:vAlign w:val="center"/>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Style w:val="739"/>
                <w:rFonts w:hint="eastAsia" w:ascii="仿宋" w:hAnsi="仿宋" w:eastAsia="仿宋" w:cs="仿宋"/>
                <w:b w:val="0"/>
                <w:bCs w:val="0"/>
                <w:color w:val="auto"/>
                <w:sz w:val="24"/>
                <w:szCs w:val="24"/>
                <w:highlight w:val="none"/>
                <w:lang w:val="en-US" w:eastAsia="zh-CN"/>
              </w:rPr>
              <w:t xml:space="preserve">27.00%</w:t>
            </w:r>
            <w:r/>
          </w:p>
        </w:tc>
        <w:tc>
          <w:tcPr>
            <w:tcW w:w="2485" w:type="dxa"/>
            <w:vAlign w:val="center"/>
            <w:vMerge w:val="continue"/>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r>
      <w:tr>
        <w:trPr>
          <w:jc w:val="center"/>
          <w:trHeight w:val="496" w:hRule="exact"/>
        </w:trPr>
        <w:tc>
          <w:tcPr>
            <w:tcW w:w="1574" w:type="dxa"/>
            <w:vAlign w:val="center"/>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Style w:val="739"/>
                <w:rFonts w:hint="eastAsia" w:ascii="仿宋" w:hAnsi="仿宋" w:eastAsia="仿宋" w:cs="仿宋"/>
                <w:b w:val="0"/>
                <w:bCs w:val="0"/>
                <w:color w:val="auto"/>
                <w:sz w:val="24"/>
                <w:szCs w:val="24"/>
                <w:highlight w:val="none"/>
                <w:lang w:val="en-US" w:eastAsia="zh-CN"/>
              </w:rPr>
              <w:t xml:space="preserve">3</w:t>
            </w:r>
            <w:r/>
          </w:p>
        </w:tc>
        <w:tc>
          <w:tcPr>
            <w:tcW w:w="2674" w:type="dxa"/>
            <w:vAlign w:val="center"/>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Style w:val="739"/>
                <w:rFonts w:hint="eastAsia" w:ascii="仿宋" w:hAnsi="仿宋" w:eastAsia="仿宋" w:cs="仿宋"/>
                <w:b w:val="0"/>
                <w:bCs w:val="0"/>
                <w:color w:val="auto"/>
                <w:sz w:val="24"/>
                <w:szCs w:val="24"/>
                <w:highlight w:val="none"/>
                <w:lang w:val="en-US" w:eastAsia="zh-CN"/>
              </w:rPr>
              <w:t xml:space="preserve">第三中标人</w:t>
            </w:r>
            <w:r/>
          </w:p>
        </w:tc>
        <w:tc>
          <w:tcPr>
            <w:tcW w:w="2485" w:type="dxa"/>
            <w:vAlign w:val="center"/>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Style w:val="739"/>
                <w:rFonts w:hint="eastAsia" w:ascii="仿宋" w:hAnsi="仿宋" w:eastAsia="仿宋" w:cs="仿宋"/>
                <w:b w:val="0"/>
                <w:bCs w:val="0"/>
                <w:color w:val="auto"/>
                <w:sz w:val="24"/>
                <w:szCs w:val="24"/>
                <w:highlight w:val="none"/>
                <w:lang w:val="en-US" w:eastAsia="zh-CN"/>
              </w:rPr>
              <w:t xml:space="preserve">5.76%</w:t>
            </w:r>
            <w:r/>
          </w:p>
        </w:tc>
        <w:tc>
          <w:tcPr>
            <w:tcW w:w="2485" w:type="dxa"/>
            <w:vAlign w:val="center"/>
            <w:vMerge w:val="continue"/>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r>
      <w:tr>
        <w:trPr>
          <w:jc w:val="center"/>
          <w:trHeight w:val="496" w:hRule="exact"/>
        </w:trPr>
        <w:tc>
          <w:tcPr>
            <w:tcW w:w="1574" w:type="dxa"/>
            <w:vAlign w:val="center"/>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Style w:val="739"/>
                <w:rFonts w:hint="eastAsia" w:ascii="仿宋" w:hAnsi="仿宋" w:eastAsia="仿宋" w:cs="仿宋"/>
                <w:b w:val="0"/>
                <w:bCs w:val="0"/>
                <w:color w:val="auto"/>
                <w:sz w:val="24"/>
                <w:szCs w:val="24"/>
                <w:highlight w:val="none"/>
                <w:lang w:val="en-US" w:eastAsia="zh-CN"/>
              </w:rPr>
              <w:t xml:space="preserve">4</w:t>
            </w:r>
            <w:r/>
          </w:p>
        </w:tc>
        <w:tc>
          <w:tcPr>
            <w:tcW w:w="2674" w:type="dxa"/>
            <w:vAlign w:val="center"/>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Style w:val="739"/>
                <w:rFonts w:hint="eastAsia" w:ascii="仿宋" w:hAnsi="仿宋" w:eastAsia="仿宋" w:cs="仿宋"/>
                <w:b w:val="0"/>
                <w:bCs w:val="0"/>
                <w:color w:val="auto"/>
                <w:sz w:val="24"/>
                <w:szCs w:val="24"/>
                <w:highlight w:val="none"/>
                <w:lang w:val="en-US" w:eastAsia="zh-CN"/>
              </w:rPr>
              <w:t xml:space="preserve">第四中标人</w:t>
            </w:r>
            <w:r/>
          </w:p>
        </w:tc>
        <w:tc>
          <w:tcPr>
            <w:tcW w:w="2485" w:type="dxa"/>
            <w:vAlign w:val="center"/>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Style w:val="739"/>
                <w:rFonts w:hint="eastAsia" w:ascii="仿宋" w:hAnsi="仿宋" w:eastAsia="仿宋" w:cs="仿宋"/>
                <w:b w:val="0"/>
                <w:bCs w:val="0"/>
                <w:color w:val="auto"/>
                <w:sz w:val="24"/>
                <w:szCs w:val="24"/>
                <w:highlight w:val="none"/>
                <w:lang w:val="en-US" w:eastAsia="zh-CN"/>
              </w:rPr>
              <w:t xml:space="preserve">3.84%</w:t>
            </w:r>
            <w:r/>
          </w:p>
        </w:tc>
        <w:tc>
          <w:tcPr>
            <w:tcW w:w="2485" w:type="dxa"/>
            <w:vAlign w:val="center"/>
            <w:vMerge w:val="continue"/>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r>
      <w:tr>
        <w:trPr>
          <w:jc w:val="center"/>
          <w:trHeight w:val="496" w:hRule="exact"/>
        </w:trPr>
        <w:tc>
          <w:tcPr>
            <w:tcW w:w="1574" w:type="dxa"/>
            <w:vAlign w:val="center"/>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Style w:val="739"/>
                <w:rFonts w:hint="eastAsia" w:ascii="仿宋" w:hAnsi="仿宋" w:eastAsia="仿宋" w:cs="仿宋"/>
                <w:b w:val="0"/>
                <w:bCs w:val="0"/>
                <w:color w:val="auto"/>
                <w:sz w:val="24"/>
                <w:szCs w:val="24"/>
                <w:highlight w:val="none"/>
                <w:lang w:val="en-US" w:eastAsia="zh-CN"/>
              </w:rPr>
              <w:t xml:space="preserve">5</w:t>
            </w:r>
            <w:r/>
          </w:p>
        </w:tc>
        <w:tc>
          <w:tcPr>
            <w:tcW w:w="2674" w:type="dxa"/>
            <w:vAlign w:val="center"/>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Style w:val="739"/>
                <w:rFonts w:hint="eastAsia" w:ascii="仿宋" w:hAnsi="仿宋" w:eastAsia="仿宋" w:cs="仿宋"/>
                <w:b w:val="0"/>
                <w:bCs w:val="0"/>
                <w:color w:val="auto"/>
                <w:sz w:val="24"/>
                <w:szCs w:val="24"/>
                <w:highlight w:val="none"/>
                <w:lang w:val="en-US" w:eastAsia="zh-CN"/>
              </w:rPr>
              <w:t xml:space="preserve">第五中标人</w:t>
            </w:r>
            <w:r/>
          </w:p>
        </w:tc>
        <w:tc>
          <w:tcPr>
            <w:tcW w:w="2485" w:type="dxa"/>
            <w:vAlign w:val="center"/>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Style w:val="739"/>
                <w:rFonts w:hint="eastAsia" w:ascii="仿宋" w:hAnsi="仿宋" w:eastAsia="仿宋" w:cs="仿宋"/>
                <w:b w:val="0"/>
                <w:bCs w:val="0"/>
                <w:color w:val="auto"/>
                <w:sz w:val="24"/>
                <w:szCs w:val="24"/>
                <w:highlight w:val="none"/>
                <w:lang w:val="en-US" w:eastAsia="zh-CN"/>
              </w:rPr>
              <w:t xml:space="preserve">2.50%</w:t>
            </w:r>
            <w:r/>
          </w:p>
        </w:tc>
        <w:tc>
          <w:tcPr>
            <w:tcW w:w="2485" w:type="dxa"/>
            <w:vAlign w:val="center"/>
            <w:vMerge w:val="continue"/>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r>
      <w:tr>
        <w:trPr>
          <w:jc w:val="center"/>
          <w:trHeight w:val="496" w:hRule="exact"/>
        </w:trPr>
        <w:tc>
          <w:tcPr>
            <w:tcW w:w="1574" w:type="dxa"/>
            <w:vAlign w:val="center"/>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Style w:val="739"/>
                <w:rFonts w:hint="eastAsia" w:ascii="仿宋" w:hAnsi="仿宋" w:eastAsia="仿宋" w:cs="仿宋"/>
                <w:b w:val="0"/>
                <w:bCs w:val="0"/>
                <w:color w:val="auto"/>
                <w:sz w:val="24"/>
                <w:szCs w:val="24"/>
                <w:highlight w:val="none"/>
                <w:lang w:val="en-US" w:eastAsia="zh-CN"/>
              </w:rPr>
              <w:t xml:space="preserve">6</w:t>
            </w:r>
            <w:r/>
          </w:p>
        </w:tc>
        <w:tc>
          <w:tcPr>
            <w:tcW w:w="2674" w:type="dxa"/>
            <w:vAlign w:val="center"/>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Style w:val="739"/>
                <w:rFonts w:hint="eastAsia" w:ascii="仿宋" w:hAnsi="仿宋" w:eastAsia="仿宋" w:cs="仿宋"/>
                <w:b w:val="0"/>
                <w:bCs w:val="0"/>
                <w:color w:val="auto"/>
                <w:sz w:val="24"/>
                <w:szCs w:val="24"/>
                <w:highlight w:val="none"/>
                <w:lang w:val="en-US" w:eastAsia="zh-CN"/>
              </w:rPr>
              <w:t xml:space="preserve">第六中标人</w:t>
            </w:r>
            <w:r/>
          </w:p>
        </w:tc>
        <w:tc>
          <w:tcPr>
            <w:tcW w:w="2485" w:type="dxa"/>
            <w:vAlign w:val="center"/>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Style w:val="739"/>
                <w:rFonts w:hint="eastAsia" w:ascii="仿宋" w:hAnsi="仿宋" w:eastAsia="仿宋" w:cs="仿宋"/>
                <w:b w:val="0"/>
                <w:bCs w:val="0"/>
                <w:color w:val="auto"/>
                <w:sz w:val="24"/>
                <w:szCs w:val="24"/>
                <w:highlight w:val="none"/>
                <w:lang w:val="en-US" w:eastAsia="zh-CN"/>
              </w:rPr>
              <w:t xml:space="preserve">1.91%</w:t>
            </w:r>
            <w:r/>
          </w:p>
        </w:tc>
        <w:tc>
          <w:tcPr>
            <w:tcW w:w="2485" w:type="dxa"/>
            <w:vAlign w:val="center"/>
            <w:vMerge w:val="continue"/>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r>
      <w:tr>
        <w:trPr>
          <w:jc w:val="center"/>
          <w:trHeight w:val="496" w:hRule="exact"/>
        </w:trPr>
        <w:tc>
          <w:tcPr>
            <w:tcW w:w="1574" w:type="dxa"/>
            <w:vAlign w:val="center"/>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Style w:val="739"/>
                <w:rFonts w:hint="eastAsia" w:ascii="仿宋" w:hAnsi="仿宋" w:eastAsia="仿宋" w:cs="仿宋"/>
                <w:b w:val="0"/>
                <w:bCs w:val="0"/>
                <w:color w:val="auto"/>
                <w:sz w:val="24"/>
                <w:szCs w:val="24"/>
                <w:highlight w:val="none"/>
                <w:lang w:val="en-US" w:eastAsia="zh-CN"/>
              </w:rPr>
              <w:t xml:space="preserve">7</w:t>
            </w:r>
            <w:r/>
          </w:p>
        </w:tc>
        <w:tc>
          <w:tcPr>
            <w:tcW w:w="2674" w:type="dxa"/>
            <w:vAlign w:val="center"/>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Style w:val="739"/>
                <w:rFonts w:hint="eastAsia" w:ascii="仿宋" w:hAnsi="仿宋" w:eastAsia="仿宋" w:cs="仿宋"/>
                <w:b w:val="0"/>
                <w:bCs w:val="0"/>
                <w:color w:val="auto"/>
                <w:sz w:val="24"/>
                <w:szCs w:val="24"/>
                <w:highlight w:val="none"/>
                <w:lang w:val="en-US" w:eastAsia="zh-CN"/>
              </w:rPr>
              <w:t xml:space="preserve">第七中标人</w:t>
            </w:r>
            <w:r/>
          </w:p>
        </w:tc>
        <w:tc>
          <w:tcPr>
            <w:tcW w:w="2485" w:type="dxa"/>
            <w:vAlign w:val="center"/>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Style w:val="739"/>
                <w:rFonts w:hint="eastAsia" w:ascii="仿宋" w:hAnsi="仿宋" w:eastAsia="仿宋" w:cs="仿宋"/>
                <w:b w:val="0"/>
                <w:bCs w:val="0"/>
                <w:color w:val="auto"/>
                <w:sz w:val="24"/>
                <w:szCs w:val="24"/>
                <w:highlight w:val="none"/>
                <w:lang w:val="en-US" w:eastAsia="zh-CN"/>
              </w:rPr>
              <w:t xml:space="preserve">1.83%</w:t>
            </w:r>
            <w:r/>
          </w:p>
        </w:tc>
        <w:tc>
          <w:tcPr>
            <w:tcW w:w="2485" w:type="dxa"/>
            <w:vAlign w:val="center"/>
            <w:vMerge w:val="continue"/>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r>
      <w:tr>
        <w:trPr>
          <w:jc w:val="center"/>
          <w:trHeight w:val="496" w:hRule="exact"/>
        </w:trPr>
        <w:tc>
          <w:tcPr>
            <w:tcW w:w="1574" w:type="dxa"/>
            <w:vAlign w:val="center"/>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Style w:val="739"/>
                <w:rFonts w:hint="eastAsia" w:ascii="仿宋" w:hAnsi="仿宋" w:eastAsia="仿宋" w:cs="仿宋"/>
                <w:b w:val="0"/>
                <w:bCs w:val="0"/>
                <w:color w:val="auto"/>
                <w:sz w:val="24"/>
                <w:szCs w:val="24"/>
                <w:highlight w:val="none"/>
                <w:lang w:val="en-US" w:eastAsia="zh-CN"/>
              </w:rPr>
              <w:t xml:space="preserve">8</w:t>
            </w:r>
            <w:r/>
          </w:p>
        </w:tc>
        <w:tc>
          <w:tcPr>
            <w:tcW w:w="2674" w:type="dxa"/>
            <w:vAlign w:val="center"/>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Style w:val="739"/>
                <w:rFonts w:hint="eastAsia" w:ascii="仿宋" w:hAnsi="仿宋" w:eastAsia="仿宋" w:cs="仿宋"/>
                <w:b w:val="0"/>
                <w:bCs w:val="0"/>
                <w:color w:val="auto"/>
                <w:sz w:val="24"/>
                <w:szCs w:val="24"/>
                <w:highlight w:val="none"/>
                <w:lang w:val="en-US" w:eastAsia="zh-CN"/>
              </w:rPr>
              <w:t xml:space="preserve">第八中标人</w:t>
            </w:r>
            <w:r/>
          </w:p>
        </w:tc>
        <w:tc>
          <w:tcPr>
            <w:tcW w:w="2485" w:type="dxa"/>
            <w:vAlign w:val="center"/>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Style w:val="739"/>
                <w:rFonts w:hint="eastAsia" w:ascii="仿宋" w:hAnsi="仿宋" w:eastAsia="仿宋" w:cs="仿宋"/>
                <w:b w:val="0"/>
                <w:bCs w:val="0"/>
                <w:color w:val="auto"/>
                <w:sz w:val="24"/>
                <w:szCs w:val="24"/>
                <w:highlight w:val="none"/>
                <w:lang w:val="en-US" w:eastAsia="zh-CN"/>
              </w:rPr>
              <w:t xml:space="preserve">1.67%</w:t>
            </w:r>
            <w:r/>
          </w:p>
        </w:tc>
        <w:tc>
          <w:tcPr>
            <w:tcW w:w="2485" w:type="dxa"/>
            <w:vAlign w:val="center"/>
            <w:vMerge w:val="continue"/>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r>
      <w:tr>
        <w:trPr>
          <w:jc w:val="center"/>
          <w:trHeight w:val="496" w:hRule="exact"/>
        </w:trPr>
        <w:tc>
          <w:tcPr>
            <w:tcW w:w="1574" w:type="dxa"/>
            <w:vAlign w:val="center"/>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Style w:val="739"/>
                <w:rFonts w:hint="eastAsia" w:ascii="仿宋" w:hAnsi="仿宋" w:eastAsia="仿宋" w:cs="仿宋"/>
                <w:b w:val="0"/>
                <w:bCs w:val="0"/>
                <w:color w:val="auto"/>
                <w:sz w:val="24"/>
                <w:szCs w:val="24"/>
                <w:highlight w:val="none"/>
                <w:lang w:val="en-US" w:eastAsia="zh-CN"/>
              </w:rPr>
              <w:t xml:space="preserve">9</w:t>
            </w:r>
            <w:r/>
          </w:p>
        </w:tc>
        <w:tc>
          <w:tcPr>
            <w:tcW w:w="2674" w:type="dxa"/>
            <w:vAlign w:val="center"/>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Style w:val="739"/>
                <w:rFonts w:hint="eastAsia" w:ascii="仿宋" w:hAnsi="仿宋" w:eastAsia="仿宋" w:cs="仿宋"/>
                <w:b w:val="0"/>
                <w:bCs w:val="0"/>
                <w:color w:val="auto"/>
                <w:sz w:val="24"/>
                <w:szCs w:val="24"/>
                <w:highlight w:val="none"/>
                <w:lang w:val="en-US" w:eastAsia="zh-CN"/>
              </w:rPr>
              <w:t xml:space="preserve">第九中标人</w:t>
            </w:r>
            <w:r/>
          </w:p>
        </w:tc>
        <w:tc>
          <w:tcPr>
            <w:tcW w:w="2485" w:type="dxa"/>
            <w:vAlign w:val="center"/>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Style w:val="739"/>
                <w:rFonts w:hint="eastAsia" w:ascii="仿宋" w:hAnsi="仿宋" w:eastAsia="仿宋" w:cs="仿宋"/>
                <w:b w:val="0"/>
                <w:bCs w:val="0"/>
                <w:color w:val="auto"/>
                <w:sz w:val="24"/>
                <w:szCs w:val="24"/>
                <w:highlight w:val="none"/>
                <w:lang w:val="en-US" w:eastAsia="zh-CN"/>
              </w:rPr>
              <w:t xml:space="preserve">1.27%</w:t>
            </w:r>
            <w:r/>
          </w:p>
        </w:tc>
        <w:tc>
          <w:tcPr>
            <w:tcW w:w="2485" w:type="dxa"/>
            <w:vAlign w:val="center"/>
            <w:vMerge w:val="continue"/>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r>
      <w:tr>
        <w:trPr>
          <w:jc w:val="center"/>
          <w:trHeight w:val="533" w:hRule="exact"/>
        </w:trPr>
        <w:tc>
          <w:tcPr>
            <w:tcW w:w="1574" w:type="dxa"/>
            <w:vAlign w:val="center"/>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Style w:val="739"/>
                <w:rFonts w:hint="eastAsia" w:ascii="仿宋" w:hAnsi="仿宋" w:eastAsia="仿宋" w:cs="仿宋"/>
                <w:b w:val="0"/>
                <w:bCs w:val="0"/>
                <w:color w:val="auto"/>
                <w:sz w:val="24"/>
                <w:szCs w:val="24"/>
                <w:highlight w:val="none"/>
                <w:lang w:val="en-US" w:eastAsia="zh-CN"/>
              </w:rPr>
              <w:t xml:space="preserve">10</w:t>
            </w:r>
            <w:r/>
          </w:p>
        </w:tc>
        <w:tc>
          <w:tcPr>
            <w:tcW w:w="2674" w:type="dxa"/>
            <w:vAlign w:val="center"/>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Style w:val="739"/>
                <w:rFonts w:hint="eastAsia" w:ascii="仿宋" w:hAnsi="仿宋" w:eastAsia="仿宋" w:cs="仿宋"/>
                <w:b w:val="0"/>
                <w:bCs w:val="0"/>
                <w:color w:val="auto"/>
                <w:sz w:val="24"/>
                <w:szCs w:val="24"/>
                <w:highlight w:val="none"/>
                <w:lang w:val="en-US" w:eastAsia="zh-CN"/>
              </w:rPr>
              <w:t xml:space="preserve">第十中标人</w:t>
            </w:r>
            <w:r/>
          </w:p>
        </w:tc>
        <w:tc>
          <w:tcPr>
            <w:tcW w:w="2485" w:type="dxa"/>
            <w:vAlign w:val="center"/>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Style w:val="739"/>
                <w:rFonts w:hint="eastAsia" w:ascii="仿宋" w:hAnsi="仿宋" w:eastAsia="仿宋" w:cs="仿宋"/>
                <w:b w:val="0"/>
                <w:bCs w:val="0"/>
                <w:color w:val="auto"/>
                <w:sz w:val="24"/>
                <w:szCs w:val="24"/>
                <w:highlight w:val="none"/>
                <w:lang w:val="en-US" w:eastAsia="zh-CN"/>
              </w:rPr>
              <w:t xml:space="preserve">1.22%</w:t>
            </w:r>
            <w:r/>
          </w:p>
        </w:tc>
        <w:tc>
          <w:tcPr>
            <w:tcW w:w="2485" w:type="dxa"/>
            <w:vAlign w:val="center"/>
            <w:vMerge w:val="continue"/>
            <w:textDirection w:val="lrTb"/>
            <w:noWrap/>
          </w:tcPr>
          <w:p>
            <w:pPr>
              <w:pStyle w:val="1057"/>
              <w:ind w:left="0" w:firstLine="0"/>
              <w:jc w:val="center"/>
              <w:spacing w:before="0" w:after="0" w:line="500" w:lineRule="exact"/>
              <w:rPr>
                <w:rStyle w:val="739"/>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r>
    </w:tbl>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本项目如第一中标人发生不能履行主承保单位职责情形时，由第二中标人代为承担相关工作职责；如其他中标人不能履行承保单位职责情形时，由排在第一的中标人承担相应份额及工作职责。长护险承办服务费采购人留存用于考核部分，根据各承办机构经办服务的每期末考核结果进行拨付。</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由于各期参保人数中途可能发生变动，以各期实际划拨的保费为准。</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val="en-US" w:eastAsia="zh-CN"/>
        </w:rPr>
        <w:t xml:space="preserve">1.3 合同履行期限及地点</w:t>
      </w:r>
      <w:r/>
    </w:p>
    <w:p>
      <w:pPr>
        <w:ind w:firstLine="48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（一）合同签订方式：网上签订。</w:t>
      </w:r>
      <w:r/>
    </w:p>
    <w:p>
      <w:pPr>
        <w:ind w:firstLine="48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（二）服务期：2026年1月1日至2026年12月31日。</w:t>
      </w:r>
      <w:r/>
    </w:p>
    <w:p>
      <w:pPr>
        <w:ind w:firstLine="48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注：服务期内将进行考核；服务期满，采购人根据政府采购的相关规定，另行组织招标采购。因考核不合格或政策、经办管理模式发生重大变化等原因，采购人有权单方面终止服务合同，中标人应无条件服从。</w:t>
      </w:r>
      <w:r/>
    </w:p>
    <w:p>
      <w:pPr>
        <w:ind w:firstLine="48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（三）服务地点：宿迁市，具体由采购人指定。</w:t>
      </w:r>
      <w:r/>
    </w:p>
    <w:p>
      <w:pPr>
        <w:ind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t xml:space="preserve">1.4 </w:t>
      </w:r>
      <w:r>
        <w:rPr>
          <w:rFonts w:hint="eastAsia" w:ascii="仿宋" w:hAnsi="仿宋" w:eastAsia="仿宋" w:cs="仿宋"/>
          <w:b/>
          <w:bCs/>
          <w:color w:val="auto"/>
          <w:sz w:val="24"/>
          <w:szCs w:val="24"/>
          <w:highlight w:val="none"/>
          <w:lang w:val="en-US" w:eastAsia="zh-CN"/>
        </w:rPr>
        <w:t xml:space="preserve">服务内容与要求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（一）总体要求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中标人按《宿迁市人民政府关于建立长期护理保险制度的实施意见》(宿政规发〔2023〕6号)及相关的配套政策文件要求，在长护险经办管理机构(以下简称"医保经办机构")指导下提供宿迁市长护险经办服务，并接受医保经办机构考核管理、服务群众监督。</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（二）服务内容</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在协议服务期内，承办商保机构负责以下工作：</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1.协助医保经办机构做好长护险定点服务机构(包括医疗机构、护理机构、养老服务机构等，以下简称“定点服务机构”)相关协议管理工作；</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2.长护险政策宣传、公众号运维、咨询回复、投诉处理工作；</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3.长护险待遇申请的受理、审核、评定结果公示及送达等工作；</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4.失能等级评估申请受理，组织评估人员开展失能等级评估及争议、纠纷处理；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5.长护险待遇享受人员服务派单、待遇支付、费用结算、稽核调查；</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6.定点服务机构费用的审核、结算、待遇支付；</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7.长护险业务档案资料的整理和保存；</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8.协助做好长护险从业人员的政策业务培训工作；</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9.长护险待遇享受人员跟踪回访、稽核调查工作；</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10.长护险基金运行监测分析，按月编报长护险运行分析报告；</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11.协助做好长护险政策调整工作；</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12.医保经办机构安排的其他工作。</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（三）项目实施方案及要求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1.总体服务方案及启动工作安排</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制定总体服务方案及启动工作安排，包括但不限于总体服务方案、启动进度安排、保证措施和风控措施以及服务费预算计划。</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2.制定失能评估管理方案</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长期护理保险失能评估由长护险失能评估委员会组织开展，投标人受委托承担失能等级评估辅助服务业务。方案包括以下几方面内容：</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（1）失能评估申请的受理审核、上门评估的组织、评定结果公示及送达4个方面；</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（2）满足受理之日起10个工作日内上门评估的，20个工作日作出失能等级评估结论；</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（3）有风险管控方案；</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（4）方案对失能评估有完善的风险监督机制，申请评估人员满意度符合要求；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（5）有及时有效处理各类咨询、投诉的方案，方案科学，实际可行。</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3.制定针对本项目的定点服务机构管理方案，包括以下几方面内容。</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需对定点护理机构的服务质量、长期护理保险费用管理、参保人员满意度等情况进行日常监督检查，并按规定结算流程，与长期护理保险失能人员及定点护理机构完成基金结算支付等方面，方案完整且可行；</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（2）包括督促定点护理机构做好护理服务协议签订、实名制管理等，在促进护理机构提升服务质量，强化费用控制方面的基础上合理、可行；</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（3）满足15个工作日与定点护理机构签订协议；</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（4）满足每季度至少完成2次对定点护理机构履行服务协议情况进行巡查，且对定点护理机构的日常检查达到100%，对违规行为进行处理的。</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4.制定长护服务质量监督与稽核巡查方案(包括对定点服务机构进行监管；负责开展异地失能人员评估、待遇支付及核查工作等)；</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（1）投标人制定巡查计划及措施，对定点护理机构的失能人员在院情况、提供护理服务、待遇结算、违规情况、待遇享受人员失能及恢复情况等进行定时巡查的，开展失能人员满意度调查的；</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（2）配置具有录音、录像、等功能的执法记录仪以及平板等具有文字处理功能的移动终端设备开展日常巡查，并满足每季度巡查定点护理机构不少于总数的50%，失能人员不少于总人数的20%；</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（3）投标人建立有定点护理机构退出机制，对定点护理机构服务场所、服务范围、服务人员情况等发生变化的，视情况重新进行服务能力评估，对不符合长期护理保险服务管理要求的，暂停或终止服务协议。</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5.制定待遇支付及基金管理方案(包括待遇支付、基金风险管理、基金运行情况分析等 )；</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（1）根据项目的实际要求，对长期护理保险的待遇支付及基金风险管理方面提出具体的工作方案。</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（2）方案满足每月初前10个工作日完成对定点护理机构费用的审核、对账、结算和支付工作，并提供有效审核方案。</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（3）满足每月、季、半年、年度结束后的20个工作日内，报送长期护理保险运行情况统计分析材料。</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（4）有完善的基金管理内控方案的。</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6.制定宣传工作方案(包括宣传方向、宣传方式、宣传渠道、宣传频率等)；</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（1）按照政策规定及政策调整，及时做好本项目的政策和业务培训的；</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（2）投标人为本项目开通专门的咨询投诉热线电话，并对外公布；</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（3）有承担失能评估申请和护理服务相关的政策和业务咨询，并受理失能人员投诉。</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7.制定业务数据保密措施</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包括但不限于对参保人员相关信息、数据、资料承担保密责任，不得用于其他用途，并不得向第三方泄露，不得利用经办之便推销或者变相推销其他商业保险产品。</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8.制定创新服务方案</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包括但不限于在长期护理保险创新性方面，特别是在利用互联网、大数据等先进技术对失能评估、护理服务、服务监管等方面，提供相应方案。</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9.制定培训方案</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包括但不限于培训内容、培训时间、培训地点、培训目标、培训人数、培训方法和培训师资等。</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10.制定人员配置方案</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包括但不限于针对本项目服务的管理职能部门、成立专业管理团队、建立管理制度。</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11.项目组成员配备要求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中标人应按承诺为本项目配备长护险经办服务全日制工作人员(工作人员与覆盖人群比不少于1:30000）,其中医学、康复、护理、信息、统计、财务等专业(具有全日制本科以上学历)的人员比例不低于40%,派驻相应数量的工作人员至医保经办机构共同办理长护险经办业务，投标人需提供承诺函（格式自拟）。</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12.办公设备及交通工具配置要求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中标人应为本项目提供独立的基本办公场所满足服务运营需求，应配备开展各项业务且与工作量相适应的办公设施(配备打印机、复印机、传真机、扫描仪等能够满足办公需求的办公设备，每人配备办公电脑，鉴定岗及稽核岗应按岗位要求配备便携电脑、摄像机、照相机、录音笔等记录核查设备)、核查设备及车辆，并根据长护险各项工作的需求，及时提供，投标人需提供承诺函（格式自拟）。</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13.信息系统服务要求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所有中标人统一纳入信息系统管理，按照协议要求建设长护险信息管理系统，与采购人指定的信息系统进行对接，按要求配置计算机和网络系统，配备与长护险业务相适应的计算机管理人员，实现长护险待遇申请、失能评估、护理服务、基金结算、经办管理、 服务监督、风险控制等全流程信息化。建立评估人员、上门护理人员库，将符合条件的评估人员、上门护理人员信息录入信息系统，实行动态管理，并做好长护险信息系统各类用户的培训和指导工作。系统开发建设、日常维护等费用由各中标单位按照标段占比共同承担。</w:t>
      </w:r>
      <w:r/>
    </w:p>
    <w:p>
      <w:pPr>
        <w:ind w:left="0" w:firstLine="482"/>
        <w:jc w:val="both"/>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1.5 保障内容及要求</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（一）保障对象</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长护险试行期间，参保对象为宿迁市职工医保参保人员。办理职工医保参保缴费手续时，同步参加长护险。长护险制度运行期间根据宿迁市经济发展水平、基金运行情况、护理产业发展等情况，适时扩大参保范围和保障对象，调整筹资水平和待遇标准等政策。</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（二）保障范围及补偿比例</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参保人员因年老、疾病、伤残等原因，基本生活不能自理，经医疗机构或康复机构规范诊疗，失能状态持续6个月以上的，经申请评估符合失能等级标准的，可享受长护险待遇。失能等级评估为重度失能等级的参保人员(以下简称“失能人员”),自相关手续办结次日起可享受长护险待遇。失能人员本人或其代理人可选择通过入住定点服务机构接受护理服务、居家接受定点服务机构护理服务、居家接受定点护理机构护理服务和亲情护理相结合等方式享受长护险待遇。</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2.失能人员接受护理服务期间，发生的符合长护险护理服务项目范围和标准的费用，由长护险基金按以下标准定额支付：</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（1）入住服务机构的医疗床位接受护理服务的，按50元/天的标准与服务机构结算；</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（2）入住服务机构的护理床位接受护理服务的，按40元/天的标准与服务机构结算；</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（3）居家接受服务机构上门提供护理服务的，每次服务时长不低于1.5小时，按30元/小时的标准与服务机构结算，月度限额为900元。上门护理服务月度总时长不足30小时的，根据实际服务时长结算；</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（4）居家接受亲情护理服务的，按20元/天的标准支付护理服务补助；</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选择居家接受上门服务机构提供护理服务和亲情护理相结合模式的，亲情护理服务补助标准为15元/天，月度限额450元，上门服务机构护理每次服务时长不低于1.5小时，按30元/小时的标准与服务机构结算，月度限额为300元。</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在市外居住的失能人员，由长护险基金按20元/天的标准支付护理服务补助。</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3.服务结算支付</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失能人员在享受长护险待遇期间，发生的符合长护险护理服务项目范围和标准的护理费用，从长护险基金中支付；超出长护险护理服务项目范围和标准的护理费用，长护险基金不予支付，由失能人员个人承担，并与定点服务机构直接结算。</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1.6经办模式</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宿迁市长护险服务项目实行"运行风险共担、保险事务共办、购买承办服务、当期考核准出"的运行模式。</w:t>
      </w:r>
      <w:r/>
    </w:p>
    <w:p>
      <w:pPr>
        <w:numPr>
          <w:ilvl w:val="0"/>
          <w:numId w:val="0"/>
        </w:num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（一）运行风险共担</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长护险委托承办商保机构参与经</w:t>
      </w:r>
      <w:r>
        <w:rPr>
          <w:rFonts w:hint="eastAsia" w:ascii="仿宋" w:hAnsi="仿宋" w:eastAsia="仿宋" w:cs="仿宋"/>
          <w:color w:val="auto"/>
          <w:sz w:val="24"/>
          <w:szCs w:val="24"/>
          <w:highlight w:val="none"/>
          <w:lang w:val="en-US" w:eastAsia="zh-CN" w:bidi="ar-SA"/>
        </w:rPr>
        <w:t xml:space="preserve">办，承办商保机构与长护险基金实行风险共担机制，长护险收入扣除长护险待遇支出(按“待遇支付标准”计算)、评估费用支出(初评评估费用+复评评估费用)、该统筹当期承办服务费（从当期长护险基金收入中计提，计提标准以本次招标所有中标人“承办服务费”报价平均值确定）后，如出现亏损，长护险保费收支结余如出现亏损，亏损2%(含)以内的部分由承办商保机构承担，2%以上的部分，经医疗保障行政部门综合评定后，对因政策性原因导致的亏损部分，由基金承担，对非政策性原因导致的亏损部分，由承办商保机构承担；由采购人根据实际情况最终确定。</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但如有盈利，则盈利部分全额返还基金。</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（二）保险事务共办</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长护险经办事务由医保经办机构和承办商保机构共同经办，分工负责。</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医保经办机构负责各参保地长护险的经办管理事务，具体包括长护险参保登记、基金筹集、管理和使用；长护险定点护理服务机构的准入、管理和考核；在评估委员会指导下组织开展失能评估工作。开展长护险承办业务的商业保险机构的招标、协议签订和管理、监督指导和考核等工作。</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商保机构承办长护险的具体事务，包括受理失能评估申请、组织评估人员开展失能评估工作；协作做好服务机构协议管理工作；长护险费用结算、待遇支付工作；负责长护险信息系统建设；负责长护险政策宣传和待遇享受人员跟踪回访工作；协助做好长护险政策调整、经办服务能力提升等调查研究工作；经办机构安排的其他工作。</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（三）购买承办服务</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承办商保机构的当期承办服务费从当期长护险基金收入中计提，计提标准以本次招标所有中标人“承办服务费”报价平均值确定,后期综合考虑服务人口、机构运营成本、工作绩效等因素，合理调整承办服务费。承办服务费从长护险基金中支付。每季度初，医保经办机构按上季度长护险承办服务费的95%预拨给承办商保机构。次年初，根据协议履行情况、服务对象满意度情况及当期考核结果，进行当期结算。</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招录的经办服务人员薪酬、保险及福利费用；办公经费；稽查稽核费用；培训费；宣传费；交通工具相关费用，以及长护险服务场所建设费用、办公装备设施费用、信息系统费用(含软件开发、硬件设备、安全等保)一次性投入均摊等列入承办服务费。 </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考核退出。建立与承办质量相挂钩的考核机制，定期对承办商保机构合同履行情况、基金运行管理情况、服务质效情况等进行考核，如有承办商保机构当期考核不通过，则终止合同。</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1.7考核与管理</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一）医保经办机构有权邀请相关专业机构和定点服务机构组成考核小组对承办商保机构相关工作进行考核评价，内容包括但不限于：合同履行情况、基金运行管理情况、服务质效情况和促进参保扩面情况等，承办商保机构须积极配合。如有承办商保机构当期考核不通过，则终止合同，中标份额均摊至考核合格的承办商保机构。</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（二）建立健全长护险基金监管机制，对基金使用情况、医疗护理服务、欺诈骗保等进行监督管理。</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（三）医保经办机构建立举报投诉、信息披露、基金监管、欺诈防范等监管机制。对承办商保机构政策制度执行情况及业务经办情况进行实时督查。</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四）承办商保机构应建立费用审核、内部控制、日常巡查、运行分析等管理制度，通过信息系统、抽查询访、满意度调查等途径，对评估结果、定点护理机构服务质量及待遇享受等情况进行跟踪管理，按月编报长护险运行分析报告报送至市财政局及医保经办机构。</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五）承办商保机构应发挥精准精细服务优势，以护理服务为抓手，引导群众及其家庭成员及时参保缴费，实现应保尽保。宣传动员灵活就业人员、个体工商户参加职工基本医保，进一步优化参保结构，扩大长期护理保险参保人数。</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（六）承办商保机构、定点服务机构及其工作人员、参保人员等存在违法违规行为造成基金损失的，可参照医疗保障基金使用监督管理有关规定处理。构成犯罪的，移送司法机关追究刑事责任。</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（七）</w:t>
      </w:r>
      <w:r>
        <w:rPr>
          <w:rFonts w:hint="eastAsia" w:ascii="仿宋" w:hAnsi="仿宋" w:eastAsia="仿宋" w:cs="仿宋"/>
          <w:color w:val="auto"/>
          <w:sz w:val="24"/>
          <w:szCs w:val="24"/>
          <w:highlight w:val="none"/>
          <w:lang w:val="en-US" w:eastAsia="zh-CN"/>
        </w:rPr>
        <w:t xml:space="preserve">建立健全长护险诚信档案，根据信用评价等级分级分类监督管理，对失信行为按照国家有关规定实施惩戒</w:t>
      </w:r>
      <w:r>
        <w:rPr>
          <w:rFonts w:hint="eastAsia" w:ascii="仿宋" w:hAnsi="仿宋" w:eastAsia="仿宋" w:cs="仿宋"/>
          <w:color w:val="auto"/>
          <w:sz w:val="24"/>
          <w:szCs w:val="24"/>
          <w:highlight w:val="none"/>
          <w:lang w:val="en-US" w:eastAsia="zh-CN" w:bidi="ar-SA"/>
        </w:rPr>
        <w:t xml:space="preserve">。</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1.8 项目实施依据</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1.《国家医保局办公室民政部办公厅关于印发&lt;长期护理失能等级评估标准(试行)&gt;的通知》(医保办发〔2021〕37号)；</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2.《宿迁市人民政府关于建立长期护理保险制度的实施意见》(宿政规发〔2023〕6号)；</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3.《关于印发&lt;宿迁市长期护理保险实施细则&gt;的通知》（宿医保规〔2023〕1号）。</w:t>
      </w:r>
      <w:r/>
    </w:p>
    <w:p>
      <w:pPr>
        <w:ind w:left="0" w:firstLine="482"/>
        <w:jc w:val="both"/>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二、合同组成</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下列文件应作为本合同的组成部分：</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2.1 本合同及附件；</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2.2 中标通知书；</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2.3 投标文件；</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2.4 招标文件；</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2.5 与本次招标有关的并经双方确认的其他文件。</w:t>
      </w:r>
      <w:r/>
    </w:p>
    <w:p>
      <w:pPr>
        <w:ind w:left="0" w:firstLine="482"/>
        <w:jc w:val="both"/>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三、双方权利和义务</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（一）甲方权利与义务</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甲方有权对合同规定范围内乙方的服务进行监督和检查，有权定期核对乙方提供服务所配备的人员数量、办公设备、场所及相关交通工具等开展长护险业务必备资源。</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1.甲方应协助提供长护险核查所需的相关资料。依托宿迁市长期护理保险信息系统提供必要的信息。</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2.甲方应加强长护险基金管理，完善付费方式及结算办法，及时审核并与乙方进行结算。</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3.甲方为乙方进驻定点护理机构完成长护险核查工作尽可能提供支持。</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4.乙方若对宿迁市长期护理保险信息系统计算结果或对甲方审核的费用等有异议，可向甲方申请复核，甲方应积极予以配合。</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5.甲方通过建立投诉受理渠道、日常抽查等多种方式对乙方提供服务及赔付情况进行考核，保证服务质量。</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6.国家法律、法规所规定的由甲方承担的其他责任。</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（二）乙方权利与义务</w:t>
      </w:r>
      <w:r>
        <w:rPr>
          <w:rStyle w:val="739"/>
          <w:rFonts w:hint="eastAsia" w:ascii="仿宋" w:hAnsi="仿宋" w:eastAsia="仿宋" w:cs="Arial"/>
          <w:b/>
          <w:color w:val="auto"/>
          <w:sz w:val="24"/>
          <w:highlight w:val="none"/>
        </w:rPr>
        <w:t xml:space="preserve">（保证所提供服务为投标文件承诺服务）</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1.乙方应在承保区域提供必要的办公场所，用于开展长护险经办服务工作。根据承办片区参保人员数量、机构、分布等实际情况合理设置服务网点，服务网点的配置须满足待遇人员需求。</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乙方须按每3万参保人员配备不少于1名工作人员的比例落实人员，并保证人员的稳定性；负责支付工作人员相关费用；负责聘请专家、落实长护险异地调查人员和相关费用等。乙方在按照每3万参保人员不少于配备1名工作人员的基础上，另行增加的人员成本不纳入长护险合作经办人员成本，由乙方自行承担。</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3.乙方协助评估人员开展评估相关工作、定点服务机构服务行为进行监管，包括协助审核参保人员身份、告知参保人员权益和义务以及护理服务合规性核查等，负责开展业务派单、失能人员评估、费用结算、待遇支付、基金运行监测、长护险待遇享受人员跟踪回访、稽核调查工作等工作。</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4.发挥优势配合甲方做好宿迁市群众参保缴费宣传工作，动员灵活就业人员、个体工商户参加职工基本医保，进一步优化参保结构，扩大长期护理保险参保人数。</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5.信息系统费用(含软件开发、硬件设备、安全等保)以及今后因政策调整所需的软件开发及硬件设备投入费用均由乙方按照规定的承办份额共同承担，信息系统及系统上医保相关数据所有权归甲方。</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6.乙方对甲方提供的参保人信息以及相关资料承担保密责任，不得用于其他用途，不得向第三方泄露。</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7.乙方应每月向甲方提交长护险支付费用情况表(表样由甲方提供),每月编报长护险运行分析报告，按考核当期提交总结报告。</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8.未经甲方书面同意，乙方不得将本保险合同业务转让转包给任何第三方。</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9.每期末，乙方需向甲方提供委托会计师事务所出具的长护险使用财务报告。 </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10.长护险政策宣传、公众号运维、咨询回复、投诉处理等工作。</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11.医保经办机构安排的其他工作。</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12.以宿迁市长护险相关政策文件为指导开展工作。</w:t>
      </w:r>
      <w:r/>
    </w:p>
    <w:p>
      <w:pPr>
        <w:ind w:left="0" w:firstLine="482"/>
        <w:jc w:val="both"/>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四、共保体成员责任分工</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乙方根据中标结果组成共保体，分别负责本服务区域内长护险业务承办工作。</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1.共保体成员在领取中标通知书15日内签订共保体协议，共保体协议为政府采购合同的附件。</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2.主承保人组织并负责共保体成员按要求签订共保体协议，制定共保体服务章程，建立服务制度。</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3.合同履约期内主承保人按月召集讨论经办过程中存在的问题并提出完善措施。</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4.合同履约期内主承保人按月组织共保体成员开展业务培训，互学互评等提升经办业务的交流活动。</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5.合同履约期内，主承保人根据甲方要求，按月出具长护险运行数据并提出建设性意见。</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6.共保体成员需配合主承保人工作，按要求履行合同及共保体协议。</w:t>
      </w:r>
      <w:r/>
    </w:p>
    <w:p>
      <w:pPr>
        <w:ind w:left="0" w:firstLine="482"/>
        <w:jc w:val="both"/>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五、共同责任</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 接受监督。 </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甲乙双方签订协议的情况，以及长护险收入、赔付情况等定期按规定接受财政、审计、医保部门的监督。</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2.合署办公。 </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乙方有关机构安排一定数量的工作人员至甲方服务窗口合署办公，共同制定管理制度、工作流程，在甲方的指导下开展长期护理服务监管等工作，有关情况及时向甲乙双方汇报。</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3.相互沟通。 </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本项目相关政策发生调整时，甲方及时告知乙方；乙方办理长护险业务时出现新情况或遭遇突发事件，要及时通报甲方。</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4.加强培训。 </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乙方要按照本项目政策规定及政策调整，及时做好本项目的政策和业务培训；为本项目开通专门的咨询、投诉热线电话，并对外公布；承担失能鉴定申请和长期护理服务相关的政策和业务咨询，并受理参保人的相关投诉。</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5.保证支付。 </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合同结束或提前终止前已发生但未结算的长期护理费用由乙方支付。</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甲乙双方协商有效办法，落实结算责任，保障参保人、定点护理机构权益。</w:t>
      </w:r>
      <w:r/>
    </w:p>
    <w:p>
      <w:pPr>
        <w:ind w:left="0" w:firstLine="482"/>
        <w:jc w:val="both"/>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六、</w:t>
      </w:r>
      <w:r>
        <w:rPr>
          <w:rFonts w:hint="eastAsia" w:ascii="仿宋" w:hAnsi="仿宋" w:eastAsia="仿宋" w:cs="仿宋"/>
          <w:b/>
          <w:color w:val="auto"/>
          <w:sz w:val="24"/>
          <w:szCs w:val="24"/>
          <w:highlight w:val="none"/>
          <w:lang w:val="en-US" w:eastAsia="zh-CN" w:bidi="ar-SA"/>
        </w:rPr>
        <w:t xml:space="preserve">履约保证金</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eastAsia="zh-CN"/>
        </w:rPr>
        <w:t xml:space="preserve">本项目</w:t>
      </w:r>
      <w:r>
        <w:rPr>
          <w:rFonts w:hint="eastAsia" w:ascii="仿宋" w:hAnsi="仿宋" w:eastAsia="仿宋" w:cs="仿宋"/>
          <w:bCs/>
          <w:color w:val="auto"/>
          <w:sz w:val="24"/>
          <w:szCs w:val="24"/>
          <w:highlight w:val="none"/>
          <w:lang w:val="en-US" w:eastAsia="zh-CN"/>
        </w:rPr>
        <w:t xml:space="preserve">不</w:t>
      </w:r>
      <w:r>
        <w:rPr>
          <w:rFonts w:hint="eastAsia" w:ascii="仿宋" w:hAnsi="仿宋" w:eastAsia="仿宋" w:cs="仿宋"/>
          <w:bCs/>
          <w:color w:val="auto"/>
          <w:sz w:val="24"/>
          <w:szCs w:val="24"/>
          <w:highlight w:val="none"/>
          <w:lang w:val="zh-CN" w:eastAsia="zh-CN"/>
        </w:rPr>
        <w:t xml:space="preserve">收取履约保证金</w:t>
      </w:r>
      <w:r>
        <w:rPr>
          <w:rFonts w:hint="eastAsia" w:ascii="仿宋" w:hAnsi="仿宋" w:eastAsia="仿宋" w:cs="仿宋"/>
          <w:bCs/>
          <w:color w:val="auto"/>
          <w:sz w:val="24"/>
          <w:szCs w:val="24"/>
          <w:highlight w:val="none"/>
          <w:lang w:val="zh-CN"/>
        </w:rPr>
        <w:t xml:space="preserve">。</w:t>
      </w:r>
      <w:r/>
    </w:p>
    <w:p>
      <w:pPr>
        <w:ind w:left="0" w:firstLine="482"/>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七</w:t>
      </w:r>
      <w:r>
        <w:rPr>
          <w:rFonts w:hint="eastAsia" w:ascii="仿宋" w:hAnsi="仿宋" w:eastAsia="仿宋" w:cs="仿宋"/>
          <w:b/>
          <w:color w:val="auto"/>
          <w:sz w:val="24"/>
          <w:szCs w:val="24"/>
          <w:highlight w:val="none"/>
        </w:rPr>
        <w:t xml:space="preserve">、合同转包或分包</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.1允许分包，允许大中型企业向一家或者多家小微企业分包，分包具体内容</w:t>
      </w:r>
      <w:r>
        <w:rPr>
          <w:rFonts w:hint="eastAsia" w:ascii="仿宋" w:hAnsi="仿宋" w:eastAsia="仿宋" w:cs="仿宋"/>
          <w:color w:val="auto"/>
          <w:sz w:val="24"/>
          <w:szCs w:val="24"/>
          <w:highlight w:val="none"/>
          <w:lang w:eastAsia="zh-CN"/>
        </w:rPr>
        <w:t xml:space="preserve">主要为：提供风险减量服务。</w:t>
      </w:r>
      <w:r/>
    </w:p>
    <w:p>
      <w:pPr>
        <w:ind w:left="0" w:firstLine="482"/>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一</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合同变更</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11.1因国家政策和上级政府的规定发生变化，按照调整后政策要求执行。</w:t>
      </w:r>
      <w:r/>
    </w:p>
    <w:p>
      <w:pPr>
        <w:ind w:left="0" w:firstLine="482"/>
        <w:keepLines w:val="0"/>
        <w:keepNext w:val="0"/>
        <w:pageBreakBefore w:val="0"/>
        <w:spacing w:line="360" w:lineRule="auto"/>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十二、合同款项支付</w:t>
      </w:r>
      <w:r/>
    </w:p>
    <w:p>
      <w:pPr>
        <w:ind w:left="0" w:firstLine="48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12.1付款方式</w:t>
      </w:r>
      <w:r/>
    </w:p>
    <w:p>
      <w:pPr>
        <w:ind w:left="0" w:firstLine="48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12.1.1对于满足合同约定支付条件的，自收到发票后10个工作日内将资金支付到合同约定的乙方账户或乙方数字人民币账户。</w:t>
      </w:r>
      <w:r/>
    </w:p>
    <w:p>
      <w:pPr>
        <w:ind w:firstLine="48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.2签订合同且收到发票后10个工作日内，支付10%的合同款作为预付款；</w:t>
      </w:r>
      <w:r/>
    </w:p>
    <w:p>
      <w:pPr>
        <w:ind w:firstLine="482"/>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承办服务费。</w:t>
      </w:r>
      <w:r>
        <w:rPr>
          <w:rFonts w:hint="eastAsia" w:ascii="仿宋" w:hAnsi="仿宋" w:eastAsia="仿宋" w:cs="仿宋"/>
          <w:b w:val="0"/>
          <w:bCs/>
          <w:color w:val="auto"/>
          <w:sz w:val="24"/>
          <w:szCs w:val="24"/>
          <w:highlight w:val="none"/>
          <w:lang w:val="en-US" w:eastAsia="zh-CN"/>
        </w:rPr>
        <w:t xml:space="preserve">承办商保机构的当期承办服务费从当期长护险基金收入中计提，计提</w:t>
      </w:r>
      <w:r>
        <w:rPr>
          <w:rFonts w:hint="eastAsia" w:ascii="仿宋" w:hAnsi="仿宋" w:eastAsia="仿宋" w:cs="仿宋"/>
          <w:b w:val="0"/>
          <w:bCs/>
          <w:color w:val="auto"/>
          <w:sz w:val="24"/>
          <w:szCs w:val="24"/>
          <w:highlight w:val="none"/>
          <w:lang w:val="en-US" w:eastAsia="zh-CN"/>
        </w:rPr>
        <w:t xml:space="preserve">标准以本次招标所有中标人“承办服务费”报价平均值确定,后期综合考虑服务人口、机构运营成本、工作绩效等因素，合理调整承办服务费。承办服务费从长护险基金中支付。每季度初，医保经办机构拨付上个季度承办服务费的95%给商保机构。次年初，根据协议履行情况、服务对象满意度情况及当期考核结果，进行当期结算。招录的经办服务人员薪酬、保险及福利费用，办公经费，稽核费用，培训费，宣传费，交通工具相关费用，以及长护险服务场所建设费用、办公装备设施费用、信息系统费用(含软件开发、硬件设备、安全等保)一次性投入均摊等列入承办服务费。</w:t>
      </w:r>
      <w:r/>
    </w:p>
    <w:p>
      <w:pPr>
        <w:ind w:firstLine="48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失能人员在宿迁市内，发生的符合长护险失能评估、护理服务项目范围和标准的费用(由市医疗保障局另行制定),从长护险基金中支付；超出长护险护理服务项目范围和标准的护理费用，长护险基金不予支付，由失能人员个人承担，并与定点服务机构直接结算。</w:t>
      </w:r>
      <w:r/>
    </w:p>
    <w:p>
      <w:pPr>
        <w:ind w:firstLine="48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采购人建立与服务对象满意度、评估质量、护理服务质量挂钩的考核结算机制。可通过约定预留款等方式，每期末根据考核结果进行费用清算。</w:t>
      </w:r>
      <w:r/>
    </w:p>
    <w:p>
      <w:pPr>
        <w:ind w:firstLine="48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根据上月长护险待遇享受人数、待遇标准和实际享受待遇时间，按照协议约定与定点服务机构结算费用，发放至失能人员银行卡（社保卡）账户。</w:t>
      </w:r>
      <w:r/>
    </w:p>
    <w:p>
      <w:pPr>
        <w:ind w:firstLine="48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每月由共保体向采购人提交长护险支付费用情况表(表样由采购人提供),每月编报长护险运行分析报告，按考核当期提交总结报告。</w:t>
      </w:r>
      <w:r/>
    </w:p>
    <w:p>
      <w:pPr>
        <w:ind w:firstLine="48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保费与承办服务费分别建账、核算、考核</w:t>
      </w:r>
      <w:r/>
    </w:p>
    <w:p>
      <w:pPr>
        <w:ind w:firstLine="48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采购人按每保险期的筹资标准及期初人数，计算长护险基金收入，将基金收入划分长护险保费与长护险承办服务费两个科目。其中承办服务费按招标确定的承办服务费基准标准计提，其余计提划入长护险保费。</w:t>
      </w:r>
      <w:r/>
    </w:p>
    <w:p>
      <w:pPr>
        <w:ind w:firstLine="48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共保体相应建立以上两个科目。合同期内，每季度初采购人按上季度长护险基金支出和承办服务费（年初参保人数25%确定计提标准）的95%向共保体分别拨付两个科目的预付资金，其余部分留存采购人，分别用于对共保体各期末综合考核和承办服务质量考核，根据考核结果及时清算，如有结余，结余部分返还基金。</w:t>
      </w:r>
      <w:r/>
    </w:p>
    <w:p>
      <w:pPr>
        <w:ind w:firstLine="48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盈亏处理：长护险按照“以收定支、收支平衡、略有盈余”的原则建立风险共担机制。长护险保费收支结余如出现亏损，亏损2%(含)以内的部分由承办商保机构承担，2%以上的部分，经医疗保障行政部门综合评定后，对因政策调整导致的亏损部分，由基金承担，除政策调整原因以外导致的亏损部分，由承办商保机构承担；由采购人根据实际情况最终确定。</w:t>
      </w:r>
      <w:r/>
    </w:p>
    <w:p>
      <w:pPr>
        <w:ind w:firstLine="48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如有盈利，则盈利部分全额返还基金。承办服务费结余归采购人所有，超支的由共保体承担。</w:t>
      </w:r>
      <w:r/>
    </w:p>
    <w:p>
      <w:pPr>
        <w:ind w:firstLine="48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盈利率或亏损率计算公式：[(本期长护险实际保费-本期长护险待遇支出-本期长护险评估费用支出)/本期长护险实际保费]×100%。本期长护险实际保费=当期长护险基金收入-本期长护险承办服务费支出。承办服务费含共保体招录的经办服务人员薪酬、保险及福利费用；办公经费；稽查稽核费用；培训费；宣传费；交通工具相关费用，以及长护险服务场所建设费用、办公装备设施费用、信息系统费用(含软件开发、硬件设备、安全等保)一次性投入均摊等。</w:t>
      </w:r>
      <w:r/>
    </w:p>
    <w:p>
      <w:pPr>
        <w:ind w:firstLine="482"/>
        <w:jc w:val="both"/>
        <w:keepLines w:val="0"/>
        <w:keepNext w:val="0"/>
        <w:pageBreakBefore w:val="0"/>
        <w:spacing w:line="360" w:lineRule="auto"/>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注：1.在签订合同时，中标人明确表示无需预付款或者主动要求降低预付款比例的金额，采购人可不适用预付款规定。</w:t>
      </w:r>
      <w:r/>
    </w:p>
    <w:p>
      <w:pPr>
        <w:ind w:firstLine="482"/>
        <w:jc w:val="both"/>
        <w:keepLines w:val="0"/>
        <w:keepNext w:val="0"/>
        <w:pageBreakBefore w:val="0"/>
        <w:spacing w:line="360" w:lineRule="auto"/>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2.由于各期参保人数中途可能发生变动，以各期实际划拨的保费为准。</w:t>
      </w:r>
      <w:r/>
    </w:p>
    <w:p>
      <w:pPr>
        <w:ind w:firstLine="482"/>
        <w:jc w:val="both"/>
        <w:keepLines w:val="0"/>
        <w:keepNext w:val="0"/>
        <w:pageBreakBefore w:val="0"/>
        <w:spacing w:line="360" w:lineRule="auto"/>
        <w:widowControl w:val="off"/>
        <w:rPr>
          <w:rFonts w:hint="eastAsia" w:ascii="仿宋" w:hAnsi="仿宋" w:eastAsia="仿宋" w:cs="仿宋"/>
          <w:b/>
          <w:bCs w:val="0"/>
          <w:color w:val="auto"/>
          <w:sz w:val="24"/>
          <w:szCs w:val="24"/>
          <w:highlight w:val="none"/>
          <w:lang w:val="zh-CN" w:eastAsia="zh-CN" w:bidi="ar-SA"/>
        </w:rPr>
      </w:pPr>
      <w:r>
        <w:rPr>
          <w:rFonts w:hint="eastAsia" w:ascii="仿宋" w:hAnsi="仿宋" w:eastAsia="仿宋" w:cs="仿宋"/>
          <w:b/>
          <w:bCs w:val="0"/>
          <w:color w:val="auto"/>
          <w:sz w:val="24"/>
          <w:szCs w:val="24"/>
          <w:highlight w:val="none"/>
          <w:lang w:val="en-US" w:eastAsia="zh-CN"/>
        </w:rPr>
        <w:t xml:space="preserve">3.本项目以所有中标人承办服务费报价的平均值（含小数点后两位）作为最终承办服务费计提比例，最高不得超过3.2元/每服务一个参保人员·年</w:t>
      </w:r>
      <w:r>
        <w:rPr>
          <w:rFonts w:hint="eastAsia" w:ascii="仿宋" w:hAnsi="仿宋" w:eastAsia="仿宋" w:cs="仿宋"/>
          <w:b/>
          <w:bCs w:val="0"/>
          <w:color w:val="auto"/>
          <w:sz w:val="24"/>
          <w:szCs w:val="24"/>
          <w:highlight w:val="none"/>
          <w:lang w:val="zh-CN" w:eastAsia="zh-CN" w:bidi="ar-SA"/>
        </w:rPr>
        <w:t xml:space="preserve">。</w:t>
      </w:r>
      <w:r/>
    </w:p>
    <w:p>
      <w:pPr>
        <w:ind w:left="0" w:firstLine="480"/>
        <w:jc w:val="both"/>
        <w:keepLines w:val="0"/>
        <w:keepNext w:val="0"/>
        <w:pageBreakBefore w:val="0"/>
        <w:spacing w:before="0" w:beforeAutospacing="0" w:afterAutospacing="0" w:line="360" w:lineRule="auto"/>
        <w:widowControl w:val="off"/>
        <w:rPr>
          <w:rFonts w:hint="eastAsia" w:ascii="仿宋" w:hAnsi="仿宋" w:eastAsia="仿宋" w:cs="仿宋"/>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Cs/>
          <w:color w:val="auto"/>
          <w:sz w:val="24"/>
          <w:szCs w:val="24"/>
          <w:highlight w:val="none"/>
          <w:lang w:val="en-US" w:eastAsia="zh-CN"/>
        </w:rPr>
        <w:t xml:space="preserve">12.</w:t>
      </w:r>
      <w:r>
        <w:rPr>
          <w:rFonts w:hint="eastAsia" w:ascii="仿宋" w:hAnsi="仿宋" w:eastAsia="仿宋" w:cs="仿宋"/>
          <w:bCs/>
          <w:color w:val="auto"/>
          <w:sz w:val="24"/>
          <w:szCs w:val="24"/>
          <w:highlight w:val="none"/>
          <w:lang w:val="en-US" w:eastAsia="zh-CN" w:bidi="ar-SA"/>
        </w:rPr>
        <w:t xml:space="preserve">2</w:t>
      </w:r>
      <w:r>
        <w:rPr>
          <w:rFonts w:hint="eastAsia" w:ascii="仿宋" w:hAnsi="仿宋" w:eastAsia="仿宋" w:cs="仿宋"/>
          <w:bCs/>
          <w:color w:val="auto"/>
          <w:sz w:val="24"/>
          <w:szCs w:val="24"/>
          <w:highlight w:val="none"/>
          <w:lang w:val="zh-CN" w:eastAsia="zh-CN" w:bidi="ar-SA"/>
        </w:rPr>
        <w:t xml:space="preserve">本合同金额以</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zh-CN" w:eastAsia="zh-CN" w:bidi="ar-SA"/>
        </w:rPr>
        <w:t xml:space="preserve">为准。</w:t>
      </w:r>
      <w:r/>
    </w:p>
    <w:p>
      <w:pPr>
        <w:ind w:left="0" w:firstLine="480"/>
        <w:jc w:val="both"/>
        <w:keepLines w:val="0"/>
        <w:keepNext w:val="0"/>
        <w:pageBreakBefore w:val="0"/>
        <w:spacing w:before="0" w:beforeAutospacing="0" w:afterAutospacing="0" w:line="360" w:lineRule="auto"/>
        <w:widowControl w:val="off"/>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Cs/>
          <w:color w:val="auto"/>
          <w:sz w:val="24"/>
          <w:szCs w:val="24"/>
          <w:highlight w:val="none"/>
          <w:lang w:val="en-US" w:eastAsia="zh-CN"/>
        </w:rPr>
        <w:t xml:space="preserve">12.3</w:t>
      </w:r>
      <w:r>
        <w:rPr>
          <w:rFonts w:hint="eastAsia" w:ascii="仿宋" w:hAnsi="仿宋" w:eastAsia="仿宋" w:cs="仿宋"/>
          <w:color w:val="auto"/>
          <w:sz w:val="24"/>
          <w:szCs w:val="24"/>
          <w:highlight w:val="none"/>
        </w:rPr>
        <w:t xml:space="preserve">发票开具方式：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具体由甲方指定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firstLine="480"/>
        <w:jc w:val="both"/>
        <w:keepLines w:val="0"/>
        <w:keepNext w:val="0"/>
        <w:pageBreakBefore w:val="0"/>
        <w:spacing w:before="0" w:beforeAutospacing="0" w:afterAutospacing="0" w:line="360" w:lineRule="auto"/>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Cs/>
          <w:color w:val="auto"/>
          <w:sz w:val="24"/>
          <w:szCs w:val="24"/>
          <w:highlight w:val="none"/>
          <w:lang w:val="en-US" w:eastAsia="zh-CN"/>
        </w:rPr>
        <w:t xml:space="preserve">12.4</w:t>
      </w:r>
      <w:r>
        <w:rPr>
          <w:rFonts w:hint="eastAsia" w:ascii="仿宋" w:hAnsi="仿宋" w:eastAsia="仿宋" w:cs="仿宋"/>
          <w:color w:val="auto"/>
          <w:sz w:val="24"/>
          <w:szCs w:val="24"/>
          <w:highlight w:val="none"/>
          <w:lang w:val="en-US" w:eastAsia="zh-CN" w:bidi="ar-SA"/>
        </w:rPr>
        <w:t xml:space="preserve">乙方收款账户信息</w:t>
      </w:r>
      <w:r/>
    </w:p>
    <w:p>
      <w:pPr>
        <w:ind w:left="0" w:firstLine="480"/>
        <w:jc w:val="both"/>
        <w:keepLines w:val="0"/>
        <w:keepNext w:val="0"/>
        <w:pageBreakBefore w:val="0"/>
        <w:spacing w:before="0" w:beforeAutospacing="0" w:afterAutospacing="0" w:line="360" w:lineRule="auto"/>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乙方开户银行：</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w:t>
      </w:r>
      <w:r/>
    </w:p>
    <w:p>
      <w:pPr>
        <w:ind w:left="0" w:firstLine="480"/>
        <w:jc w:val="both"/>
        <w:keepLines w:val="0"/>
        <w:keepNext w:val="0"/>
        <w:pageBreakBefore w:val="0"/>
        <w:spacing w:before="0" w:beforeAutospacing="0" w:afterAutospacing="0" w:line="360" w:lineRule="auto"/>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乙方开户名称：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w:t>
      </w:r>
      <w:r/>
    </w:p>
    <w:p>
      <w:pPr>
        <w:ind w:left="0" w:firstLine="480"/>
        <w:jc w:val="both"/>
        <w:keepLines w:val="0"/>
        <w:keepNext w:val="0"/>
        <w:pageBreakBefore w:val="0"/>
        <w:spacing w:before="0" w:beforeAutospacing="0" w:afterAutospacing="0" w:line="360" w:lineRule="auto"/>
        <w:widowControl w:val="off"/>
        <w:rPr>
          <w:rFonts w:hint="eastAsia" w:ascii="仿宋" w:hAnsi="仿宋" w:eastAsia="仿宋" w:cs="仿宋"/>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乙方开户账号：</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w:t>
      </w:r>
      <w:r/>
    </w:p>
    <w:p>
      <w:pPr>
        <w:ind w:left="0" w:firstLine="482"/>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三</w:t>
      </w:r>
      <w:r>
        <w:rPr>
          <w:rFonts w:hint="eastAsia" w:ascii="仿宋" w:hAnsi="仿宋" w:eastAsia="仿宋" w:cs="仿宋"/>
          <w:b/>
          <w:color w:val="auto"/>
          <w:sz w:val="24"/>
          <w:szCs w:val="24"/>
          <w:highlight w:val="none"/>
        </w:rPr>
        <w:t xml:space="preserve">、税费</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.1本合同执行中相关的一切税费均由乙方负担。</w:t>
      </w:r>
      <w:r/>
    </w:p>
    <w:p>
      <w:pPr>
        <w:ind w:left="0" w:firstLine="482"/>
        <w:jc w:val="both"/>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十四、违约责任</w:t>
      </w:r>
      <w:r/>
    </w:p>
    <w:p>
      <w:pPr>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（一）除不可抗力外，如果乙方没有按照本合同约定的期限、地点或方式履行，那么甲方可要求乙方支付违约金，违约金按每迟延履行一日的合同总价款的</w:t>
      </w:r>
      <w:r>
        <w:rPr>
          <w:rFonts w:hint="eastAsia" w:ascii="仿宋" w:hAnsi="仿宋" w:eastAsia="仿宋" w:cs="仿宋"/>
          <w:color w:val="auto"/>
          <w:sz w:val="24"/>
          <w:szCs w:val="24"/>
          <w:highlight w:val="none"/>
          <w:u w:val="single"/>
          <w:lang w:val="en-US" w:eastAsia="zh-CN" w:bidi="ar-SA"/>
        </w:rPr>
        <w:t xml:space="preserve">1%</w:t>
      </w:r>
      <w:r>
        <w:rPr>
          <w:rFonts w:hint="eastAsia" w:ascii="仿宋" w:hAnsi="仿宋" w:eastAsia="仿宋" w:cs="仿宋"/>
          <w:color w:val="auto"/>
          <w:sz w:val="24"/>
          <w:szCs w:val="24"/>
          <w:highlight w:val="none"/>
          <w:lang w:val="en-US" w:eastAsia="zh-CN" w:bidi="ar-SA"/>
        </w:rPr>
        <w:t xml:space="preserve">计算，逾期达 30 日以上，甲方享有单方解除权，在乙方收到甲方的书面解除通知后本合同视为解除，乙方除返还甲方已付款项外，另向甲方支付合同总价款 30%违约金如不足弥补给甲方造成的损失，甲方有权索赔。 </w:t>
      </w:r>
      <w:r/>
    </w:p>
    <w:p>
      <w:pPr>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（二）非因甲方原因，乙方不履行本合同规定的其他义务之一的，甲方有权要求其继续履行，并要求乙方支付合同总价</w:t>
      </w:r>
      <w:r>
        <w:rPr>
          <w:rFonts w:hint="eastAsia" w:ascii="仿宋" w:hAnsi="仿宋" w:eastAsia="仿宋" w:cs="仿宋"/>
          <w:color w:val="auto"/>
          <w:sz w:val="24"/>
          <w:szCs w:val="24"/>
          <w:highlight w:val="none"/>
          <w:u w:val="single"/>
          <w:lang w:val="en-US" w:eastAsia="zh-CN" w:bidi="ar-SA"/>
        </w:rPr>
        <w:t xml:space="preserve">10%</w:t>
      </w:r>
      <w:r>
        <w:rPr>
          <w:rFonts w:hint="eastAsia" w:ascii="仿宋" w:hAnsi="仿宋" w:eastAsia="仿宋" w:cs="仿宋"/>
          <w:color w:val="auto"/>
          <w:sz w:val="24"/>
          <w:szCs w:val="24"/>
          <w:highlight w:val="none"/>
          <w:lang w:val="en-US" w:eastAsia="zh-CN" w:bidi="ar-SA"/>
        </w:rPr>
        <w:t xml:space="preserve">违约金；未按甲方要求进行整改的，甲方有权解除本合同，乙方除退还甲方已付款项外，乙方另应支付合同总价</w:t>
      </w:r>
      <w:r>
        <w:rPr>
          <w:rFonts w:hint="eastAsia" w:ascii="仿宋" w:hAnsi="仿宋" w:eastAsia="仿宋" w:cs="仿宋"/>
          <w:color w:val="auto"/>
          <w:sz w:val="24"/>
          <w:szCs w:val="24"/>
          <w:highlight w:val="none"/>
          <w:u w:val="single"/>
          <w:lang w:val="en-US" w:eastAsia="zh-CN" w:bidi="ar-SA"/>
        </w:rPr>
        <w:t xml:space="preserve">30%</w:t>
      </w:r>
      <w:r>
        <w:rPr>
          <w:rFonts w:hint="eastAsia" w:ascii="仿宋" w:hAnsi="仿宋" w:eastAsia="仿宋" w:cs="仿宋"/>
          <w:color w:val="auto"/>
          <w:sz w:val="24"/>
          <w:szCs w:val="24"/>
          <w:highlight w:val="none"/>
          <w:lang w:val="en-US" w:eastAsia="zh-CN" w:bidi="ar-SA"/>
        </w:rPr>
        <w:t xml:space="preserve">的违约金。不足弥补甲方损失的，仍需赔偿。</w:t>
      </w:r>
      <w:r/>
    </w:p>
    <w:p>
      <w:pPr>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（三）本项目不得转让分包，如有发生，无条件清理退场，所造成的一切损失由乙方负责。</w:t>
      </w:r>
      <w:r/>
    </w:p>
    <w:p>
      <w:pPr>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（四）甲方未按约定期限付款的，除向乙方支付货款外，须按中国人民银行有关规定向乙方支付滞纳金。</w:t>
      </w:r>
      <w:r/>
    </w:p>
    <w:p>
      <w:pPr>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五）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六）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七）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（八）如果出现政府采购监督管理部门在处理投诉事项期间，书面通知甲方暂停采购活动的情形，或者询问或质疑事项可能影响中标结果的，导致甲方中止或终止履行合同的情形，均不视为甲方违约。</w:t>
      </w:r>
      <w:r/>
    </w:p>
    <w:p>
      <w:pPr>
        <w:ind w:left="0" w:firstLine="482"/>
        <w:jc w:val="both"/>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十五、项目验收</w:t>
      </w:r>
      <w:r/>
    </w:p>
    <w:p>
      <w:pPr>
        <w:ind w:left="0" w:firstLine="480"/>
        <w:jc w:val="both"/>
        <w:keepLines w:val="0"/>
        <w:keepNext w:val="0"/>
        <w:pageBreakBefore w:val="0"/>
        <w:spacing w:before="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15.1 甲方依法组织履约验收工作。</w:t>
      </w:r>
      <w:r/>
    </w:p>
    <w:p>
      <w:pPr>
        <w:ind w:left="0" w:firstLine="480"/>
        <w:jc w:val="both"/>
        <w:keepLines w:val="0"/>
        <w:keepNext w:val="0"/>
        <w:pageBreakBefore w:val="0"/>
        <w:spacing w:before="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jc w:val="both"/>
        <w:keepLines w:val="0"/>
        <w:keepNext w:val="0"/>
        <w:pageBreakBefore w:val="0"/>
        <w:spacing w:before="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15.3 对于实际使用人和甲方分离的项目，甲方邀请实际使用人参与验收。</w:t>
      </w:r>
      <w:r/>
    </w:p>
    <w:p>
      <w:pPr>
        <w:ind w:left="0" w:firstLine="480"/>
        <w:jc w:val="both"/>
        <w:keepLines w:val="0"/>
        <w:keepNext w:val="0"/>
        <w:pageBreakBefore w:val="0"/>
        <w:spacing w:before="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15.4 如有必要，甲方邀请参加本项目的其他投标人或第三方专业机构及专家参与验收，相关意见将作为验收书的参考资料。</w:t>
      </w:r>
      <w:r/>
    </w:p>
    <w:p>
      <w:pPr>
        <w:ind w:left="0" w:firstLine="480"/>
        <w:jc w:val="both"/>
        <w:keepLines w:val="0"/>
        <w:keepNext w:val="0"/>
        <w:pageBreakBefore w:val="0"/>
        <w:spacing w:before="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jc w:val="both"/>
        <w:keepLines w:val="0"/>
        <w:keepNext w:val="0"/>
        <w:pageBreakBefore w:val="0"/>
        <w:spacing w:before="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firstLine="480"/>
        <w:jc w:val="both"/>
        <w:keepLines w:val="0"/>
        <w:keepNext w:val="0"/>
        <w:pageBreakBefore w:val="0"/>
        <w:spacing w:before="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15.7</w:t>
      </w:r>
      <w:r>
        <w:rPr>
          <w:rFonts w:hint="eastAsia" w:ascii="仿宋" w:hAnsi="仿宋" w:eastAsia="仿宋" w:cs="仿宋"/>
          <w:bCs/>
          <w:color w:val="auto"/>
          <w:sz w:val="24"/>
          <w:szCs w:val="24"/>
          <w:highlight w:val="none"/>
          <w:lang w:val="en-US" w:eastAsia="zh-CN"/>
        </w:rPr>
        <w:t xml:space="preserve">合同履行期满，</w:t>
      </w:r>
      <w:r>
        <w:rPr>
          <w:rFonts w:hint="eastAsia" w:ascii="仿宋" w:hAnsi="仿宋" w:eastAsia="仿宋" w:cs="仿宋"/>
          <w:color w:val="auto"/>
          <w:sz w:val="24"/>
          <w:szCs w:val="24"/>
          <w:highlight w:val="none"/>
          <w:lang w:val="en-US" w:eastAsia="zh-CN" w:bidi="ar-SA"/>
        </w:rPr>
        <w:t xml:space="preserve">乙方</w:t>
      </w:r>
      <w:r>
        <w:rPr>
          <w:rFonts w:hint="eastAsia" w:ascii="仿宋" w:hAnsi="仿宋" w:eastAsia="仿宋" w:cs="仿宋"/>
          <w:bCs/>
          <w:color w:val="auto"/>
          <w:sz w:val="24"/>
          <w:szCs w:val="24"/>
          <w:highlight w:val="none"/>
          <w:lang w:val="en-US" w:eastAsia="zh-CN"/>
        </w:rPr>
        <w:t xml:space="preserve">向甲方提交项目验收资料以及验收申请单，甲方收到申请后3个工作日内组织验收且验收无问题后签署验收单。</w:t>
      </w:r>
      <w:r/>
    </w:p>
    <w:p>
      <w:pPr>
        <w:ind w:left="0" w:firstLine="482"/>
        <w:jc w:val="both"/>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十六、不可抗力事件处理</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任何一方由于不可抗力原因不能履行合同时，应在不可抗力事件发生后48 小时内向对方通报，以减轻可能给对方造成的损失，在取得有关机构的不可抗力证明和双方谅解确认后，允许延期履行或修订合同，并根据情况可部分或全部免于承担违约责任。</w:t>
      </w:r>
      <w:r/>
    </w:p>
    <w:p>
      <w:pPr>
        <w:ind w:left="0" w:firstLine="482"/>
        <w:jc w:val="both"/>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十七、解决争议的方法</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17.1甲乙双方发生有关长护险争议时，可通过协商解决；协商不成甲乙双方一致同意提交甲方所在地人民法院管辖。</w:t>
      </w:r>
      <w:r/>
    </w:p>
    <w:p>
      <w:pPr>
        <w:ind w:left="0" w:firstLine="482"/>
        <w:jc w:val="both"/>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十八、特殊情况处理</w:t>
      </w:r>
      <w:r/>
    </w:p>
    <w:p>
      <w:pPr>
        <w:ind w:firstLine="480"/>
        <w:jc w:val="both"/>
        <w:keepLines w:val="0"/>
        <w:keepNext w:val="0"/>
        <w:pageBreakBefore w:val="0"/>
        <w:spacing w:line="360" w:lineRule="auto"/>
        <w:widowControl w:val="off"/>
        <w:rPr>
          <w:rStyle w:val="739"/>
          <w:rFonts w:hint="eastAsia" w:ascii="仿宋" w:hAnsi="仿宋" w:eastAsia="仿宋" w:cs="仿宋"/>
          <w:color w:val="auto"/>
          <w:sz w:val="24"/>
          <w:szCs w:val="24"/>
          <w:highlight w:val="none"/>
          <w:lang w:val="en-US" w:eastAsia="zh-CN" w:bidi="ar-SA"/>
        </w:rPr>
      </w:pPr>
      <w:r>
        <w:rPr>
          <w:rStyle w:val="739"/>
          <w:rFonts w:hint="eastAsia" w:ascii="仿宋" w:hAnsi="仿宋" w:eastAsia="仿宋" w:cs="仿宋"/>
          <w:color w:val="auto"/>
          <w:sz w:val="24"/>
          <w:szCs w:val="24"/>
          <w:highlight w:val="none"/>
          <w:lang w:val="en-US" w:eastAsia="zh-CN" w:bidi="ar-SA"/>
        </w:rPr>
        <w:t xml:space="preserve">如因乙方不能履行合同，影响了参保人权益，甲方按政策规定履行职能，停止拨付尚未拨付的长护险相关资金，甲方有权提前终止或解除合同，并报相关部门追究其责任。</w:t>
      </w:r>
      <w:r/>
    </w:p>
    <w:p>
      <w:pPr>
        <w:ind w:left="0" w:firstLine="482"/>
        <w:jc w:val="both"/>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十九、合同生效及其它</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18.1合同经双方法定代表人或授权委托代表人签字并加盖单位公章后生效。</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18.2本合同未尽事宜，遵照《民法典》、《政府采购法》有关条文执行。</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18.3 本合同正本一式</w:t>
      </w:r>
      <w:r>
        <w:rPr>
          <w:rStyle w:val="739"/>
          <w:rFonts w:hint="eastAsia" w:ascii="仿宋" w:hAnsi="仿宋" w:eastAsia="仿宋" w:cs="仿宋"/>
          <w:color w:val="auto"/>
          <w:sz w:val="24"/>
          <w:szCs w:val="24"/>
          <w:highlight w:val="none"/>
        </w:rPr>
        <w:t xml:space="preserve">拾壹</w:t>
      </w:r>
      <w:r>
        <w:rPr>
          <w:rFonts w:hint="eastAsia" w:ascii="仿宋" w:hAnsi="仿宋" w:eastAsia="仿宋" w:cs="仿宋"/>
          <w:color w:val="auto"/>
          <w:sz w:val="24"/>
          <w:szCs w:val="24"/>
          <w:highlight w:val="none"/>
          <w:lang w:val="en-US" w:eastAsia="zh-CN" w:bidi="ar-SA"/>
        </w:rPr>
        <w:t xml:space="preserve">份，</w:t>
      </w:r>
      <w:r>
        <w:rPr>
          <w:rStyle w:val="739"/>
          <w:rFonts w:hint="eastAsia" w:ascii="仿宋" w:hAnsi="仿宋" w:eastAsia="仿宋" w:cs="仿宋"/>
          <w:color w:val="auto"/>
          <w:sz w:val="24"/>
          <w:szCs w:val="24"/>
          <w:highlight w:val="none"/>
        </w:rPr>
        <w:t xml:space="preserve">合同各方各执壹份</w:t>
      </w:r>
      <w:r>
        <w:rPr>
          <w:rFonts w:hint="eastAsia" w:ascii="仿宋" w:hAnsi="仿宋" w:eastAsia="仿宋" w:cs="仿宋"/>
          <w:color w:val="auto"/>
          <w:sz w:val="24"/>
          <w:szCs w:val="24"/>
          <w:highlight w:val="none"/>
          <w:lang w:val="en-US" w:eastAsia="zh-CN" w:bidi="ar-SA"/>
        </w:rPr>
        <w:t xml:space="preserve">，具有同等法律效力。</w:t>
      </w:r>
      <w:bookmarkEnd w:id="190"/>
      <w:r/>
      <w:bookmarkEnd w:id="191"/>
      <w:r/>
      <w:bookmarkEnd w:id="192"/>
      <w:r/>
      <w:r/>
    </w:p>
    <w:p>
      <w:pPr>
        <w:pStyle w:val="1059"/>
        <w:ind w:firstLine="480"/>
        <w:keepLines w:val="0"/>
        <w:keepNext w:val="0"/>
        <w:pageBreakBefore w:val="0"/>
        <w:spacing w:line="360" w:lineRule="auto"/>
        <w:rPr>
          <w:rStyle w:val="739"/>
          <w:rFonts w:hint="eastAsia" w:ascii="仿宋" w:hAnsi="仿宋" w:eastAsia="仿宋" w:cs="仿宋"/>
          <w:color w:val="auto"/>
          <w:sz w:val="24"/>
          <w:highlight w:val="none"/>
        </w:rPr>
      </w:pPr>
      <w:r/>
      <w:bookmarkStart w:id="193" w:name="_Toc15293"/>
      <w:r/>
      <w:bookmarkStart w:id="194" w:name="_Toc26554093"/>
      <w:r/>
      <w:bookmarkStart w:id="195" w:name="_Toc49090575"/>
      <w:r/>
      <w:bookmarkStart w:id="196" w:name="_Toc120614281"/>
      <w:r/>
      <w:bookmarkStart w:id="197" w:name="_Toc462564139"/>
      <w:r/>
      <w:bookmarkStart w:id="198" w:name="_Toc479757211"/>
      <w:r/>
      <w:r/>
    </w:p>
    <w:p>
      <w:pPr>
        <w:pStyle w:val="1059"/>
        <w:ind w:firstLine="480"/>
        <w:keepLines w:val="0"/>
        <w:keepNext w:val="0"/>
        <w:pageBreakBefore w:val="0"/>
        <w:spacing w:line="360" w:lineRule="auto"/>
        <w:rPr>
          <w:rStyle w:val="739"/>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059"/>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甲方：</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rPr>
        <w:t xml:space="preserve">（盖章）             </w:t>
      </w:r>
      <w:r/>
    </w:p>
    <w:p>
      <w:pPr>
        <w:pStyle w:val="1062"/>
        <w:ind w:firstLine="480"/>
        <w:keepLines w:val="0"/>
        <w:keepNext w:val="0"/>
        <w:pageBreakBefore w:val="0"/>
        <w:spacing w:line="360" w:lineRule="auto"/>
        <w:widowControl/>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地址：</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rPr>
        <w:t xml:space="preserve">      </w:t>
      </w:r>
      <w:r/>
    </w:p>
    <w:p>
      <w:pPr>
        <w:pStyle w:val="1062"/>
        <w:ind w:firstLine="480"/>
        <w:keepLines w:val="0"/>
        <w:keepNext w:val="0"/>
        <w:pageBreakBefore w:val="0"/>
        <w:spacing w:line="360" w:lineRule="auto"/>
        <w:widowControl/>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法定（授权）代表人：</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u w:val="none"/>
          <w:lang w:eastAsia="zh-CN"/>
        </w:rPr>
        <w:t xml:space="preserve">（</w:t>
      </w:r>
      <w:r>
        <w:rPr>
          <w:rStyle w:val="739"/>
          <w:rFonts w:hint="eastAsia" w:ascii="仿宋" w:hAnsi="仿宋" w:eastAsia="仿宋" w:cs="仿宋"/>
          <w:color w:val="auto"/>
          <w:sz w:val="24"/>
          <w:highlight w:val="none"/>
          <w:u w:val="none"/>
          <w:lang w:val="en-US" w:eastAsia="zh-CN"/>
        </w:rPr>
        <w:t xml:space="preserve">签字或盖章</w:t>
      </w:r>
      <w:r>
        <w:rPr>
          <w:rStyle w:val="739"/>
          <w:rFonts w:hint="eastAsia" w:ascii="仿宋" w:hAnsi="仿宋" w:eastAsia="仿宋" w:cs="仿宋"/>
          <w:color w:val="auto"/>
          <w:sz w:val="24"/>
          <w:highlight w:val="none"/>
          <w:u w:val="none"/>
          <w:lang w:eastAsia="zh-CN"/>
        </w:rPr>
        <w:t xml:space="preserve">）</w:t>
      </w:r>
      <w:r>
        <w:rPr>
          <w:rStyle w:val="739"/>
          <w:rFonts w:hint="eastAsia" w:ascii="仿宋" w:hAnsi="仿宋" w:eastAsia="仿宋" w:cs="仿宋"/>
          <w:color w:val="auto"/>
          <w:sz w:val="24"/>
          <w:highlight w:val="none"/>
        </w:rPr>
        <w:t xml:space="preserve">  </w:t>
      </w:r>
      <w:r/>
    </w:p>
    <w:p>
      <w:pPr>
        <w:pStyle w:val="1062"/>
        <w:ind w:firstLine="480"/>
        <w:keepLines w:val="0"/>
        <w:keepNext w:val="0"/>
        <w:pageBreakBefore w:val="0"/>
        <w:spacing w:line="360" w:lineRule="auto"/>
        <w:widowControl/>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联系电话：</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rPr>
        <w:t xml:space="preserve">  </w:t>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乙方1：</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rPr>
        <w:t xml:space="preserve">（盖章）    </w:t>
      </w:r>
      <w:r/>
    </w:p>
    <w:p>
      <w:pPr>
        <w:pStyle w:val="1062"/>
        <w:ind w:firstLine="480"/>
        <w:keepLines w:val="0"/>
        <w:keepNext w:val="0"/>
        <w:pageBreakBefore w:val="0"/>
        <w:spacing w:line="360" w:lineRule="auto"/>
        <w:widowControl/>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地址：</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rPr>
        <w:t xml:space="preserve">  </w:t>
      </w:r>
      <w:r/>
    </w:p>
    <w:p>
      <w:pPr>
        <w:pStyle w:val="1062"/>
        <w:ind w:firstLine="480"/>
        <w:keepLines w:val="0"/>
        <w:keepNext w:val="0"/>
        <w:pageBreakBefore w:val="0"/>
        <w:spacing w:line="360" w:lineRule="auto"/>
        <w:widowControl/>
        <w:rPr>
          <w:rStyle w:val="739"/>
          <w:rFonts w:hint="eastAsia" w:ascii="仿宋" w:hAnsi="仿宋" w:eastAsia="仿宋" w:cs="仿宋"/>
          <w:color w:val="auto"/>
          <w:sz w:val="24"/>
          <w:highlight w:val="none"/>
          <w:u w:val="single"/>
        </w:rPr>
      </w:pPr>
      <w:r>
        <w:rPr>
          <w:rStyle w:val="739"/>
          <w:rFonts w:hint="eastAsia" w:ascii="仿宋" w:hAnsi="仿宋" w:eastAsia="仿宋" w:cs="仿宋"/>
          <w:color w:val="auto"/>
          <w:sz w:val="24"/>
          <w:highlight w:val="none"/>
        </w:rPr>
        <w:t xml:space="preserve">法定（授权）代表人：</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u w:val="none"/>
          <w:lang w:eastAsia="zh-CN"/>
        </w:rPr>
        <w:t xml:space="preserve">（</w:t>
      </w:r>
      <w:r>
        <w:rPr>
          <w:rStyle w:val="739"/>
          <w:rFonts w:hint="eastAsia" w:ascii="仿宋" w:hAnsi="仿宋" w:eastAsia="仿宋" w:cs="仿宋"/>
          <w:color w:val="auto"/>
          <w:sz w:val="24"/>
          <w:highlight w:val="none"/>
          <w:u w:val="none"/>
          <w:lang w:val="en-US" w:eastAsia="zh-CN"/>
        </w:rPr>
        <w:t xml:space="preserve">签字或盖章</w:t>
      </w:r>
      <w:r>
        <w:rPr>
          <w:rStyle w:val="739"/>
          <w:rFonts w:hint="eastAsia" w:ascii="仿宋" w:hAnsi="仿宋" w:eastAsia="仿宋" w:cs="仿宋"/>
          <w:color w:val="auto"/>
          <w:sz w:val="24"/>
          <w:highlight w:val="none"/>
          <w:u w:val="none"/>
          <w:lang w:eastAsia="zh-CN"/>
        </w:rPr>
        <w:t xml:space="preserve">）</w:t>
      </w:r>
      <w:r>
        <w:rPr>
          <w:rStyle w:val="739"/>
          <w:rFonts w:hint="eastAsia" w:ascii="仿宋" w:hAnsi="仿宋" w:eastAsia="仿宋" w:cs="仿宋"/>
          <w:color w:val="auto"/>
          <w:sz w:val="24"/>
          <w:highlight w:val="none"/>
        </w:rPr>
        <w:t xml:space="preserve"> </w:t>
      </w:r>
      <w:r/>
    </w:p>
    <w:p>
      <w:pPr>
        <w:pStyle w:val="1062"/>
        <w:ind w:firstLine="480"/>
        <w:keepLines w:val="0"/>
        <w:keepNext w:val="0"/>
        <w:pageBreakBefore w:val="0"/>
        <w:spacing w:line="360" w:lineRule="auto"/>
        <w:widowControl/>
        <w:rPr>
          <w:rStyle w:val="739"/>
          <w:rFonts w:hint="eastAsia" w:ascii="仿宋" w:hAnsi="仿宋" w:eastAsia="仿宋" w:cs="仿宋"/>
          <w:color w:val="auto"/>
          <w:highlight w:val="none"/>
          <w:u w:val="single"/>
        </w:rPr>
      </w:pPr>
      <w:r>
        <w:rPr>
          <w:rStyle w:val="739"/>
          <w:rFonts w:hint="eastAsia" w:ascii="仿宋" w:hAnsi="仿宋" w:eastAsia="仿宋" w:cs="仿宋"/>
          <w:color w:val="auto"/>
          <w:sz w:val="24"/>
          <w:highlight w:val="none"/>
        </w:rPr>
        <w:t xml:space="preserve">联系电话：</w:t>
      </w:r>
      <w:r>
        <w:rPr>
          <w:rStyle w:val="739"/>
          <w:rFonts w:hint="eastAsia" w:ascii="仿宋" w:hAnsi="仿宋" w:eastAsia="仿宋" w:cs="仿宋"/>
          <w:color w:val="auto"/>
          <w:sz w:val="24"/>
          <w:highlight w:val="none"/>
          <w:u w:val="single"/>
        </w:rPr>
        <w:t xml:space="preserve">                            </w:t>
      </w:r>
      <w:r/>
    </w:p>
    <w:p>
      <w:pPr>
        <w:pStyle w:val="1062"/>
        <w:ind w:firstLine="40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0"/>
          <w:highlight w:val="none"/>
        </w:rPr>
        <w:t xml:space="preserve"> </w:t>
      </w:r>
      <w:r>
        <w:rPr>
          <w:rStyle w:val="739"/>
          <w:rFonts w:hint="eastAsia" w:ascii="仿宋" w:hAnsi="仿宋" w:eastAsia="仿宋" w:cs="仿宋"/>
          <w:color w:val="auto"/>
          <w:sz w:val="24"/>
          <w:highlight w:val="none"/>
        </w:rPr>
        <w:t xml:space="preserve">开户银行：                                    </w:t>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开户名称：                                    </w:t>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开户账号：</w:t>
      </w:r>
      <w:r/>
    </w:p>
    <w:p>
      <w:pPr>
        <w:pStyle w:val="1063"/>
        <w:ind w:firstLine="400"/>
        <w:keepLines w:val="0"/>
        <w:keepNext w:val="0"/>
        <w:pageBreakBefore w:val="0"/>
        <w:spacing w:after="0" w:line="360" w:lineRule="auto"/>
        <w:rPr>
          <w:rStyle w:val="739"/>
          <w:rFonts w:hint="eastAsia" w:eastAsia="宋体" w:cs="Times New Roman"/>
          <w:color w:val="auto"/>
          <w:highlight w:val="none"/>
        </w:rPr>
      </w:pPr>
      <w:r>
        <w:rPr>
          <w:rFonts w:hint="eastAsia" w:eastAsia="宋体" w:cs="Times New Roman"/>
          <w:color w:val="auto"/>
          <w:highlight w:val="none"/>
        </w:rPr>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乙方2：</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rPr>
        <w:t xml:space="preserve">（盖章）    </w:t>
      </w:r>
      <w:r/>
    </w:p>
    <w:p>
      <w:pPr>
        <w:pStyle w:val="1062"/>
        <w:ind w:firstLine="480"/>
        <w:keepLines w:val="0"/>
        <w:keepNext w:val="0"/>
        <w:pageBreakBefore w:val="0"/>
        <w:spacing w:line="360" w:lineRule="auto"/>
        <w:widowControl/>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地址：</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rPr>
        <w:t xml:space="preserve">  </w:t>
      </w:r>
      <w:r/>
    </w:p>
    <w:p>
      <w:pPr>
        <w:pStyle w:val="1062"/>
        <w:ind w:firstLine="480"/>
        <w:keepLines w:val="0"/>
        <w:keepNext w:val="0"/>
        <w:pageBreakBefore w:val="0"/>
        <w:spacing w:line="360" w:lineRule="auto"/>
        <w:widowControl/>
        <w:rPr>
          <w:rStyle w:val="739"/>
          <w:rFonts w:hint="eastAsia" w:ascii="仿宋" w:hAnsi="仿宋" w:eastAsia="仿宋" w:cs="仿宋"/>
          <w:color w:val="auto"/>
          <w:sz w:val="24"/>
          <w:highlight w:val="none"/>
          <w:u w:val="single"/>
        </w:rPr>
      </w:pPr>
      <w:r>
        <w:rPr>
          <w:rStyle w:val="739"/>
          <w:rFonts w:hint="eastAsia" w:ascii="仿宋" w:hAnsi="仿宋" w:eastAsia="仿宋" w:cs="仿宋"/>
          <w:color w:val="auto"/>
          <w:sz w:val="24"/>
          <w:highlight w:val="none"/>
        </w:rPr>
        <w:t xml:space="preserve">法定（授权）代表人：</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u w:val="none"/>
          <w:lang w:eastAsia="zh-CN"/>
        </w:rPr>
        <w:t xml:space="preserve">（</w:t>
      </w:r>
      <w:r>
        <w:rPr>
          <w:rStyle w:val="739"/>
          <w:rFonts w:hint="eastAsia" w:ascii="仿宋" w:hAnsi="仿宋" w:eastAsia="仿宋" w:cs="仿宋"/>
          <w:color w:val="auto"/>
          <w:sz w:val="24"/>
          <w:highlight w:val="none"/>
          <w:u w:val="none"/>
          <w:lang w:val="en-US" w:eastAsia="zh-CN"/>
        </w:rPr>
        <w:t xml:space="preserve">签字或盖章</w:t>
      </w:r>
      <w:r>
        <w:rPr>
          <w:rStyle w:val="739"/>
          <w:rFonts w:hint="eastAsia" w:ascii="仿宋" w:hAnsi="仿宋" w:eastAsia="仿宋" w:cs="仿宋"/>
          <w:color w:val="auto"/>
          <w:sz w:val="24"/>
          <w:highlight w:val="none"/>
          <w:u w:val="none"/>
          <w:lang w:eastAsia="zh-CN"/>
        </w:rPr>
        <w:t xml:space="preserve">）</w:t>
      </w:r>
      <w:r>
        <w:rPr>
          <w:rStyle w:val="739"/>
          <w:rFonts w:hint="eastAsia" w:ascii="仿宋" w:hAnsi="仿宋" w:eastAsia="仿宋" w:cs="仿宋"/>
          <w:color w:val="auto"/>
          <w:sz w:val="24"/>
          <w:highlight w:val="none"/>
        </w:rPr>
        <w:t xml:space="preserve"> </w:t>
      </w:r>
      <w:r/>
    </w:p>
    <w:p>
      <w:pPr>
        <w:pStyle w:val="1062"/>
        <w:ind w:firstLine="480"/>
        <w:keepLines w:val="0"/>
        <w:keepNext w:val="0"/>
        <w:pageBreakBefore w:val="0"/>
        <w:spacing w:line="360" w:lineRule="auto"/>
        <w:widowControl/>
        <w:rPr>
          <w:rStyle w:val="739"/>
          <w:rFonts w:hint="eastAsia" w:ascii="仿宋" w:hAnsi="仿宋" w:eastAsia="仿宋" w:cs="仿宋"/>
          <w:color w:val="auto"/>
          <w:highlight w:val="none"/>
          <w:u w:val="single"/>
        </w:rPr>
      </w:pPr>
      <w:r>
        <w:rPr>
          <w:rStyle w:val="739"/>
          <w:rFonts w:hint="eastAsia" w:ascii="仿宋" w:hAnsi="仿宋" w:eastAsia="仿宋" w:cs="仿宋"/>
          <w:color w:val="auto"/>
          <w:sz w:val="24"/>
          <w:highlight w:val="none"/>
        </w:rPr>
        <w:t xml:space="preserve">联系电话：</w:t>
      </w:r>
      <w:r>
        <w:rPr>
          <w:rStyle w:val="739"/>
          <w:rFonts w:hint="eastAsia" w:ascii="仿宋" w:hAnsi="仿宋" w:eastAsia="仿宋" w:cs="仿宋"/>
          <w:color w:val="auto"/>
          <w:sz w:val="24"/>
          <w:highlight w:val="none"/>
          <w:u w:val="single"/>
        </w:rPr>
        <w:t xml:space="preserve">                            </w:t>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开户银行：                                    </w:t>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开户名称：                                    </w:t>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开户账号：</w:t>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乙方3：</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rPr>
        <w:t xml:space="preserve">（盖章）    </w:t>
      </w:r>
      <w:r/>
    </w:p>
    <w:p>
      <w:pPr>
        <w:pStyle w:val="1062"/>
        <w:ind w:firstLine="480"/>
        <w:keepLines w:val="0"/>
        <w:keepNext w:val="0"/>
        <w:pageBreakBefore w:val="0"/>
        <w:spacing w:line="360" w:lineRule="auto"/>
        <w:widowControl/>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地址：</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rPr>
        <w:t xml:space="preserve">  </w:t>
      </w:r>
      <w:r/>
    </w:p>
    <w:p>
      <w:pPr>
        <w:pStyle w:val="1062"/>
        <w:ind w:firstLine="480"/>
        <w:keepLines w:val="0"/>
        <w:keepNext w:val="0"/>
        <w:pageBreakBefore w:val="0"/>
        <w:spacing w:line="360" w:lineRule="auto"/>
        <w:widowControl/>
        <w:rPr>
          <w:rStyle w:val="739"/>
          <w:rFonts w:hint="eastAsia" w:ascii="仿宋" w:hAnsi="仿宋" w:eastAsia="仿宋" w:cs="仿宋"/>
          <w:color w:val="auto"/>
          <w:sz w:val="24"/>
          <w:highlight w:val="none"/>
          <w:u w:val="single"/>
        </w:rPr>
      </w:pPr>
      <w:r>
        <w:rPr>
          <w:rStyle w:val="739"/>
          <w:rFonts w:hint="eastAsia" w:ascii="仿宋" w:hAnsi="仿宋" w:eastAsia="仿宋" w:cs="仿宋"/>
          <w:color w:val="auto"/>
          <w:sz w:val="24"/>
          <w:highlight w:val="none"/>
        </w:rPr>
        <w:t xml:space="preserve">法定（授权）代表人：</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u w:val="none"/>
          <w:lang w:eastAsia="zh-CN"/>
        </w:rPr>
        <w:t xml:space="preserve">（</w:t>
      </w:r>
      <w:r>
        <w:rPr>
          <w:rStyle w:val="739"/>
          <w:rFonts w:hint="eastAsia" w:ascii="仿宋" w:hAnsi="仿宋" w:eastAsia="仿宋" w:cs="仿宋"/>
          <w:color w:val="auto"/>
          <w:sz w:val="24"/>
          <w:highlight w:val="none"/>
          <w:u w:val="none"/>
          <w:lang w:val="en-US" w:eastAsia="zh-CN"/>
        </w:rPr>
        <w:t xml:space="preserve">签字或盖章</w:t>
      </w:r>
      <w:r>
        <w:rPr>
          <w:rStyle w:val="739"/>
          <w:rFonts w:hint="eastAsia" w:ascii="仿宋" w:hAnsi="仿宋" w:eastAsia="仿宋" w:cs="仿宋"/>
          <w:color w:val="auto"/>
          <w:sz w:val="24"/>
          <w:highlight w:val="none"/>
          <w:u w:val="none"/>
          <w:lang w:eastAsia="zh-CN"/>
        </w:rPr>
        <w:t xml:space="preserve">）</w:t>
      </w:r>
      <w:r>
        <w:rPr>
          <w:rStyle w:val="739"/>
          <w:rFonts w:hint="eastAsia" w:ascii="仿宋" w:hAnsi="仿宋" w:eastAsia="仿宋" w:cs="仿宋"/>
          <w:color w:val="auto"/>
          <w:sz w:val="24"/>
          <w:highlight w:val="none"/>
        </w:rPr>
        <w:t xml:space="preserve"> </w:t>
      </w:r>
      <w:r/>
    </w:p>
    <w:p>
      <w:pPr>
        <w:pStyle w:val="1062"/>
        <w:ind w:firstLine="480"/>
        <w:keepLines w:val="0"/>
        <w:keepNext w:val="0"/>
        <w:pageBreakBefore w:val="0"/>
        <w:spacing w:line="360" w:lineRule="auto"/>
        <w:widowControl/>
        <w:rPr>
          <w:rStyle w:val="739"/>
          <w:rFonts w:hint="eastAsia" w:ascii="仿宋" w:hAnsi="仿宋" w:eastAsia="仿宋" w:cs="仿宋"/>
          <w:color w:val="auto"/>
          <w:highlight w:val="none"/>
          <w:u w:val="single"/>
        </w:rPr>
      </w:pPr>
      <w:r>
        <w:rPr>
          <w:rStyle w:val="739"/>
          <w:rFonts w:hint="eastAsia" w:ascii="仿宋" w:hAnsi="仿宋" w:eastAsia="仿宋" w:cs="仿宋"/>
          <w:color w:val="auto"/>
          <w:sz w:val="24"/>
          <w:highlight w:val="none"/>
        </w:rPr>
        <w:t xml:space="preserve">联系电话：</w:t>
      </w:r>
      <w:r>
        <w:rPr>
          <w:rStyle w:val="739"/>
          <w:rFonts w:hint="eastAsia" w:ascii="仿宋" w:hAnsi="仿宋" w:eastAsia="仿宋" w:cs="仿宋"/>
          <w:color w:val="auto"/>
          <w:sz w:val="24"/>
          <w:highlight w:val="none"/>
          <w:u w:val="single"/>
        </w:rPr>
        <w:t xml:space="preserve">                            </w:t>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开户银行：                                    </w:t>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开户名称：                                    </w:t>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开户账号：</w:t>
      </w:r>
      <w:r/>
    </w:p>
    <w:p>
      <w:pPr>
        <w:pStyle w:val="1064"/>
        <w:ind w:firstLine="400"/>
        <w:keepLines w:val="0"/>
        <w:keepNext w:val="0"/>
        <w:pageBreakBefore w:val="0"/>
        <w:spacing w:line="360" w:lineRule="auto"/>
        <w:rPr>
          <w:rStyle w:val="739"/>
          <w:rFonts w:hint="eastAsia" w:ascii="仿宋" w:hAnsi="仿宋" w:eastAsia="仿宋" w:cs="仿宋"/>
          <w:color w:val="auto"/>
          <w:sz w:val="20"/>
          <w:highlight w:val="none"/>
        </w:rPr>
      </w:pPr>
      <w:r>
        <w:rPr>
          <w:rFonts w:hint="eastAsia" w:ascii="仿宋" w:hAnsi="仿宋" w:eastAsia="仿宋" w:cs="仿宋"/>
          <w:color w:val="auto"/>
          <w:sz w:val="20"/>
          <w:highlight w:val="none"/>
        </w:rPr>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乙方4：</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rPr>
        <w:t xml:space="preserve">（盖章）    </w:t>
      </w:r>
      <w:r/>
    </w:p>
    <w:p>
      <w:pPr>
        <w:pStyle w:val="1062"/>
        <w:ind w:firstLine="480"/>
        <w:keepLines w:val="0"/>
        <w:keepNext w:val="0"/>
        <w:pageBreakBefore w:val="0"/>
        <w:spacing w:line="360" w:lineRule="auto"/>
        <w:widowControl/>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地址：</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rPr>
        <w:t xml:space="preserve">  </w:t>
      </w:r>
      <w:r/>
    </w:p>
    <w:p>
      <w:pPr>
        <w:pStyle w:val="1062"/>
        <w:ind w:firstLine="480"/>
        <w:keepLines w:val="0"/>
        <w:keepNext w:val="0"/>
        <w:pageBreakBefore w:val="0"/>
        <w:spacing w:line="360" w:lineRule="auto"/>
        <w:widowControl/>
        <w:rPr>
          <w:rStyle w:val="739"/>
          <w:rFonts w:hint="eastAsia" w:ascii="仿宋" w:hAnsi="仿宋" w:eastAsia="仿宋" w:cs="仿宋"/>
          <w:color w:val="auto"/>
          <w:sz w:val="24"/>
          <w:highlight w:val="none"/>
          <w:u w:val="single"/>
        </w:rPr>
      </w:pPr>
      <w:r>
        <w:rPr>
          <w:rStyle w:val="739"/>
          <w:rFonts w:hint="eastAsia" w:ascii="仿宋" w:hAnsi="仿宋" w:eastAsia="仿宋" w:cs="仿宋"/>
          <w:color w:val="auto"/>
          <w:sz w:val="24"/>
          <w:highlight w:val="none"/>
        </w:rPr>
        <w:t xml:space="preserve">法定（授权）代表人：</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u w:val="none"/>
          <w:lang w:eastAsia="zh-CN"/>
        </w:rPr>
        <w:t xml:space="preserve">（</w:t>
      </w:r>
      <w:r>
        <w:rPr>
          <w:rStyle w:val="739"/>
          <w:rFonts w:hint="eastAsia" w:ascii="仿宋" w:hAnsi="仿宋" w:eastAsia="仿宋" w:cs="仿宋"/>
          <w:color w:val="auto"/>
          <w:sz w:val="24"/>
          <w:highlight w:val="none"/>
          <w:u w:val="none"/>
          <w:lang w:val="en-US" w:eastAsia="zh-CN"/>
        </w:rPr>
        <w:t xml:space="preserve">签字或盖章</w:t>
      </w:r>
      <w:r>
        <w:rPr>
          <w:rStyle w:val="739"/>
          <w:rFonts w:hint="eastAsia" w:ascii="仿宋" w:hAnsi="仿宋" w:eastAsia="仿宋" w:cs="仿宋"/>
          <w:color w:val="auto"/>
          <w:sz w:val="24"/>
          <w:highlight w:val="none"/>
          <w:u w:val="none"/>
          <w:lang w:eastAsia="zh-CN"/>
        </w:rPr>
        <w:t xml:space="preserve">）</w:t>
      </w:r>
      <w:r>
        <w:rPr>
          <w:rStyle w:val="739"/>
          <w:rFonts w:hint="eastAsia" w:ascii="仿宋" w:hAnsi="仿宋" w:eastAsia="仿宋" w:cs="仿宋"/>
          <w:color w:val="auto"/>
          <w:sz w:val="24"/>
          <w:highlight w:val="none"/>
        </w:rPr>
        <w:t xml:space="preserve"> </w:t>
      </w:r>
      <w:r/>
    </w:p>
    <w:p>
      <w:pPr>
        <w:pStyle w:val="1062"/>
        <w:ind w:firstLine="480"/>
        <w:keepLines w:val="0"/>
        <w:keepNext w:val="0"/>
        <w:pageBreakBefore w:val="0"/>
        <w:spacing w:line="360" w:lineRule="auto"/>
        <w:widowControl/>
        <w:rPr>
          <w:rStyle w:val="739"/>
          <w:rFonts w:hint="eastAsia" w:ascii="仿宋" w:hAnsi="仿宋" w:eastAsia="仿宋" w:cs="仿宋"/>
          <w:color w:val="auto"/>
          <w:highlight w:val="none"/>
          <w:u w:val="single"/>
        </w:rPr>
      </w:pPr>
      <w:r>
        <w:rPr>
          <w:rStyle w:val="739"/>
          <w:rFonts w:hint="eastAsia" w:ascii="仿宋" w:hAnsi="仿宋" w:eastAsia="仿宋" w:cs="仿宋"/>
          <w:color w:val="auto"/>
          <w:sz w:val="24"/>
          <w:highlight w:val="none"/>
        </w:rPr>
        <w:t xml:space="preserve">联系电话：</w:t>
      </w:r>
      <w:r>
        <w:rPr>
          <w:rStyle w:val="739"/>
          <w:rFonts w:hint="eastAsia" w:ascii="仿宋" w:hAnsi="仿宋" w:eastAsia="仿宋" w:cs="仿宋"/>
          <w:color w:val="auto"/>
          <w:sz w:val="24"/>
          <w:highlight w:val="none"/>
          <w:u w:val="single"/>
        </w:rPr>
        <w:t xml:space="preserve">                            </w:t>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开户银行：                                    </w:t>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开户名称：                                    </w:t>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开户账号：</w:t>
      </w:r>
      <w:r/>
    </w:p>
    <w:p>
      <w:pPr>
        <w:pStyle w:val="1063"/>
        <w:ind w:firstLine="400"/>
        <w:keepLines w:val="0"/>
        <w:keepNext w:val="0"/>
        <w:pageBreakBefore w:val="0"/>
        <w:spacing w:after="0" w:line="360" w:lineRule="auto"/>
        <w:rPr>
          <w:rStyle w:val="739"/>
          <w:rFonts w:hint="eastAsia" w:eastAsia="宋体" w:cs="Times New Roman"/>
          <w:color w:val="auto"/>
          <w:highlight w:val="none"/>
        </w:rPr>
      </w:pPr>
      <w:r>
        <w:rPr>
          <w:rFonts w:hint="eastAsia" w:eastAsia="宋体" w:cs="Times New Roman"/>
          <w:color w:val="auto"/>
          <w:highlight w:val="none"/>
        </w:rPr>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乙方5：</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rPr>
        <w:t xml:space="preserve">（盖章）    </w:t>
      </w:r>
      <w:r/>
    </w:p>
    <w:p>
      <w:pPr>
        <w:pStyle w:val="1062"/>
        <w:ind w:firstLine="480"/>
        <w:keepLines w:val="0"/>
        <w:keepNext w:val="0"/>
        <w:pageBreakBefore w:val="0"/>
        <w:spacing w:line="360" w:lineRule="auto"/>
        <w:widowControl/>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地址：</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rPr>
        <w:t xml:space="preserve">  </w:t>
      </w:r>
      <w:r/>
    </w:p>
    <w:p>
      <w:pPr>
        <w:pStyle w:val="1062"/>
        <w:ind w:firstLine="480"/>
        <w:keepLines w:val="0"/>
        <w:keepNext w:val="0"/>
        <w:pageBreakBefore w:val="0"/>
        <w:spacing w:line="360" w:lineRule="auto"/>
        <w:widowControl/>
        <w:rPr>
          <w:rStyle w:val="739"/>
          <w:rFonts w:hint="eastAsia" w:ascii="仿宋" w:hAnsi="仿宋" w:eastAsia="仿宋" w:cs="仿宋"/>
          <w:color w:val="auto"/>
          <w:sz w:val="24"/>
          <w:highlight w:val="none"/>
          <w:u w:val="single"/>
        </w:rPr>
      </w:pPr>
      <w:r>
        <w:rPr>
          <w:rStyle w:val="739"/>
          <w:rFonts w:hint="eastAsia" w:ascii="仿宋" w:hAnsi="仿宋" w:eastAsia="仿宋" w:cs="仿宋"/>
          <w:color w:val="auto"/>
          <w:sz w:val="24"/>
          <w:highlight w:val="none"/>
        </w:rPr>
        <w:t xml:space="preserve">法定（授权）代表人：</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u w:val="none"/>
          <w:lang w:eastAsia="zh-CN"/>
        </w:rPr>
        <w:t xml:space="preserve">（</w:t>
      </w:r>
      <w:r>
        <w:rPr>
          <w:rStyle w:val="739"/>
          <w:rFonts w:hint="eastAsia" w:ascii="仿宋" w:hAnsi="仿宋" w:eastAsia="仿宋" w:cs="仿宋"/>
          <w:color w:val="auto"/>
          <w:sz w:val="24"/>
          <w:highlight w:val="none"/>
          <w:u w:val="none"/>
          <w:lang w:val="en-US" w:eastAsia="zh-CN"/>
        </w:rPr>
        <w:t xml:space="preserve">签字或盖章</w:t>
      </w:r>
      <w:r>
        <w:rPr>
          <w:rStyle w:val="739"/>
          <w:rFonts w:hint="eastAsia" w:ascii="仿宋" w:hAnsi="仿宋" w:eastAsia="仿宋" w:cs="仿宋"/>
          <w:color w:val="auto"/>
          <w:sz w:val="24"/>
          <w:highlight w:val="none"/>
          <w:u w:val="none"/>
          <w:lang w:eastAsia="zh-CN"/>
        </w:rPr>
        <w:t xml:space="preserve">）</w:t>
      </w:r>
      <w:r>
        <w:rPr>
          <w:rStyle w:val="739"/>
          <w:rFonts w:hint="eastAsia" w:ascii="仿宋" w:hAnsi="仿宋" w:eastAsia="仿宋" w:cs="仿宋"/>
          <w:color w:val="auto"/>
          <w:sz w:val="24"/>
          <w:highlight w:val="none"/>
        </w:rPr>
        <w:t xml:space="preserve"> </w:t>
      </w:r>
      <w:r/>
    </w:p>
    <w:p>
      <w:pPr>
        <w:pStyle w:val="1062"/>
        <w:ind w:firstLine="480"/>
        <w:keepLines w:val="0"/>
        <w:keepNext w:val="0"/>
        <w:pageBreakBefore w:val="0"/>
        <w:spacing w:line="360" w:lineRule="auto"/>
        <w:widowControl/>
        <w:rPr>
          <w:rStyle w:val="739"/>
          <w:rFonts w:hint="eastAsia" w:ascii="仿宋" w:hAnsi="仿宋" w:eastAsia="仿宋" w:cs="仿宋"/>
          <w:color w:val="auto"/>
          <w:highlight w:val="none"/>
          <w:u w:val="single"/>
        </w:rPr>
      </w:pPr>
      <w:r>
        <w:rPr>
          <w:rStyle w:val="739"/>
          <w:rFonts w:hint="eastAsia" w:ascii="仿宋" w:hAnsi="仿宋" w:eastAsia="仿宋" w:cs="仿宋"/>
          <w:color w:val="auto"/>
          <w:sz w:val="24"/>
          <w:highlight w:val="none"/>
        </w:rPr>
        <w:t xml:space="preserve">联系电话：</w:t>
      </w:r>
      <w:r>
        <w:rPr>
          <w:rStyle w:val="739"/>
          <w:rFonts w:hint="eastAsia" w:ascii="仿宋" w:hAnsi="仿宋" w:eastAsia="仿宋" w:cs="仿宋"/>
          <w:color w:val="auto"/>
          <w:sz w:val="24"/>
          <w:highlight w:val="none"/>
          <w:u w:val="single"/>
        </w:rPr>
        <w:t xml:space="preserve">                            </w:t>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开户银行：                                    </w:t>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开户名称：                                    </w:t>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开户账号：</w:t>
      </w:r>
      <w:r/>
    </w:p>
    <w:p>
      <w:pPr>
        <w:pStyle w:val="1063"/>
        <w:ind w:firstLine="400"/>
        <w:keepLines w:val="0"/>
        <w:keepNext w:val="0"/>
        <w:pageBreakBefore w:val="0"/>
        <w:spacing w:after="0" w:line="360" w:lineRule="auto"/>
        <w:rPr>
          <w:rStyle w:val="739"/>
          <w:rFonts w:hint="eastAsia" w:eastAsia="宋体" w:cs="Times New Roman"/>
          <w:color w:val="auto"/>
          <w:highlight w:val="none"/>
        </w:rPr>
      </w:pPr>
      <w:r>
        <w:rPr>
          <w:rFonts w:hint="eastAsia" w:eastAsia="宋体" w:cs="Times New Roman"/>
          <w:color w:val="auto"/>
          <w:highlight w:val="none"/>
        </w:rPr>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乙方6：</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rPr>
        <w:t xml:space="preserve">（盖章）    </w:t>
      </w:r>
      <w:r/>
    </w:p>
    <w:p>
      <w:pPr>
        <w:pStyle w:val="1062"/>
        <w:ind w:firstLine="480"/>
        <w:keepLines w:val="0"/>
        <w:keepNext w:val="0"/>
        <w:pageBreakBefore w:val="0"/>
        <w:spacing w:line="360" w:lineRule="auto"/>
        <w:widowControl/>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地址：</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rPr>
        <w:t xml:space="preserve">  </w:t>
      </w:r>
      <w:r/>
    </w:p>
    <w:p>
      <w:pPr>
        <w:pStyle w:val="1062"/>
        <w:ind w:firstLine="480"/>
        <w:keepLines w:val="0"/>
        <w:keepNext w:val="0"/>
        <w:pageBreakBefore w:val="0"/>
        <w:spacing w:line="360" w:lineRule="auto"/>
        <w:widowControl/>
        <w:rPr>
          <w:rStyle w:val="739"/>
          <w:rFonts w:hint="eastAsia" w:ascii="仿宋" w:hAnsi="仿宋" w:eastAsia="仿宋" w:cs="仿宋"/>
          <w:color w:val="auto"/>
          <w:sz w:val="24"/>
          <w:highlight w:val="none"/>
          <w:u w:val="single"/>
        </w:rPr>
      </w:pPr>
      <w:r>
        <w:rPr>
          <w:rStyle w:val="739"/>
          <w:rFonts w:hint="eastAsia" w:ascii="仿宋" w:hAnsi="仿宋" w:eastAsia="仿宋" w:cs="仿宋"/>
          <w:color w:val="auto"/>
          <w:sz w:val="24"/>
          <w:highlight w:val="none"/>
        </w:rPr>
        <w:t xml:space="preserve">法定（授权）代表人：</w:t>
      </w:r>
      <w:r>
        <w:rPr>
          <w:rStyle w:val="739"/>
          <w:rFonts w:hint="eastAsia" w:ascii="仿宋" w:hAnsi="仿宋" w:eastAsia="仿宋" w:cs="仿宋"/>
          <w:color w:val="auto"/>
          <w:sz w:val="24"/>
          <w:highlight w:val="none"/>
          <w:u w:val="single"/>
        </w:rPr>
        <w:t xml:space="preserve">                  </w:t>
      </w:r>
      <w:r/>
    </w:p>
    <w:p>
      <w:pPr>
        <w:pStyle w:val="1062"/>
        <w:ind w:firstLine="480"/>
        <w:keepLines w:val="0"/>
        <w:keepNext w:val="0"/>
        <w:pageBreakBefore w:val="0"/>
        <w:spacing w:line="360" w:lineRule="auto"/>
        <w:widowControl/>
        <w:rPr>
          <w:rStyle w:val="739"/>
          <w:rFonts w:hint="eastAsia" w:ascii="仿宋" w:hAnsi="仿宋" w:eastAsia="仿宋" w:cs="仿宋"/>
          <w:color w:val="auto"/>
          <w:highlight w:val="none"/>
          <w:u w:val="single"/>
        </w:rPr>
      </w:pPr>
      <w:r>
        <w:rPr>
          <w:rStyle w:val="739"/>
          <w:rFonts w:hint="eastAsia" w:ascii="仿宋" w:hAnsi="仿宋" w:eastAsia="仿宋" w:cs="仿宋"/>
          <w:color w:val="auto"/>
          <w:sz w:val="24"/>
          <w:highlight w:val="none"/>
        </w:rPr>
        <w:t xml:space="preserve">联系电话：</w:t>
      </w:r>
      <w:r>
        <w:rPr>
          <w:rStyle w:val="739"/>
          <w:rFonts w:hint="eastAsia" w:ascii="仿宋" w:hAnsi="仿宋" w:eastAsia="仿宋" w:cs="仿宋"/>
          <w:color w:val="auto"/>
          <w:sz w:val="24"/>
          <w:highlight w:val="none"/>
          <w:u w:val="single"/>
        </w:rPr>
        <w:t xml:space="preserve">                            </w:t>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开户银行：                                    </w:t>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开户名称：                                    </w:t>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开户账号：</w:t>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乙方7：</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rPr>
        <w:t xml:space="preserve">（盖章）    </w:t>
      </w:r>
      <w:r/>
    </w:p>
    <w:p>
      <w:pPr>
        <w:pStyle w:val="1062"/>
        <w:ind w:firstLine="480"/>
        <w:keepLines w:val="0"/>
        <w:keepNext w:val="0"/>
        <w:pageBreakBefore w:val="0"/>
        <w:spacing w:line="360" w:lineRule="auto"/>
        <w:widowControl/>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地址：</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rPr>
        <w:t xml:space="preserve">  </w:t>
      </w:r>
      <w:r/>
    </w:p>
    <w:p>
      <w:pPr>
        <w:pStyle w:val="1062"/>
        <w:ind w:firstLine="480"/>
        <w:keepLines w:val="0"/>
        <w:keepNext w:val="0"/>
        <w:pageBreakBefore w:val="0"/>
        <w:spacing w:line="360" w:lineRule="auto"/>
        <w:widowControl/>
        <w:rPr>
          <w:rStyle w:val="739"/>
          <w:rFonts w:hint="eastAsia" w:ascii="仿宋" w:hAnsi="仿宋" w:eastAsia="仿宋" w:cs="仿宋"/>
          <w:color w:val="auto"/>
          <w:sz w:val="24"/>
          <w:highlight w:val="none"/>
          <w:u w:val="single"/>
        </w:rPr>
      </w:pPr>
      <w:r>
        <w:rPr>
          <w:rStyle w:val="739"/>
          <w:rFonts w:hint="eastAsia" w:ascii="仿宋" w:hAnsi="仿宋" w:eastAsia="仿宋" w:cs="仿宋"/>
          <w:color w:val="auto"/>
          <w:sz w:val="24"/>
          <w:highlight w:val="none"/>
        </w:rPr>
        <w:t xml:space="preserve">法定（授权）代表人：</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u w:val="none"/>
          <w:lang w:eastAsia="zh-CN"/>
        </w:rPr>
        <w:t xml:space="preserve">（</w:t>
      </w:r>
      <w:r>
        <w:rPr>
          <w:rStyle w:val="739"/>
          <w:rFonts w:hint="eastAsia" w:ascii="仿宋" w:hAnsi="仿宋" w:eastAsia="仿宋" w:cs="仿宋"/>
          <w:color w:val="auto"/>
          <w:sz w:val="24"/>
          <w:highlight w:val="none"/>
          <w:u w:val="none"/>
          <w:lang w:val="en-US" w:eastAsia="zh-CN"/>
        </w:rPr>
        <w:t xml:space="preserve">签字或盖章</w:t>
      </w:r>
      <w:r>
        <w:rPr>
          <w:rStyle w:val="739"/>
          <w:rFonts w:hint="eastAsia" w:ascii="仿宋" w:hAnsi="仿宋" w:eastAsia="仿宋" w:cs="仿宋"/>
          <w:color w:val="auto"/>
          <w:sz w:val="24"/>
          <w:highlight w:val="none"/>
          <w:u w:val="none"/>
          <w:lang w:eastAsia="zh-CN"/>
        </w:rPr>
        <w:t xml:space="preserve">）</w:t>
      </w:r>
      <w:r>
        <w:rPr>
          <w:rStyle w:val="739"/>
          <w:rFonts w:hint="eastAsia" w:ascii="仿宋" w:hAnsi="仿宋" w:eastAsia="仿宋" w:cs="仿宋"/>
          <w:color w:val="auto"/>
          <w:sz w:val="24"/>
          <w:highlight w:val="none"/>
        </w:rPr>
        <w:t xml:space="preserve"> </w:t>
      </w:r>
      <w:r/>
    </w:p>
    <w:p>
      <w:pPr>
        <w:pStyle w:val="1062"/>
        <w:ind w:firstLine="480"/>
        <w:keepLines w:val="0"/>
        <w:keepNext w:val="0"/>
        <w:pageBreakBefore w:val="0"/>
        <w:spacing w:line="360" w:lineRule="auto"/>
        <w:widowControl/>
        <w:rPr>
          <w:rStyle w:val="739"/>
          <w:rFonts w:hint="eastAsia" w:ascii="仿宋" w:hAnsi="仿宋" w:eastAsia="仿宋" w:cs="仿宋"/>
          <w:color w:val="auto"/>
          <w:highlight w:val="none"/>
          <w:u w:val="single"/>
        </w:rPr>
      </w:pPr>
      <w:r>
        <w:rPr>
          <w:rStyle w:val="739"/>
          <w:rFonts w:hint="eastAsia" w:ascii="仿宋" w:hAnsi="仿宋" w:eastAsia="仿宋" w:cs="仿宋"/>
          <w:color w:val="auto"/>
          <w:sz w:val="24"/>
          <w:highlight w:val="none"/>
        </w:rPr>
        <w:t xml:space="preserve">联系电话：</w:t>
      </w:r>
      <w:r>
        <w:rPr>
          <w:rStyle w:val="739"/>
          <w:rFonts w:hint="eastAsia" w:ascii="仿宋" w:hAnsi="仿宋" w:eastAsia="仿宋" w:cs="仿宋"/>
          <w:color w:val="auto"/>
          <w:sz w:val="24"/>
          <w:highlight w:val="none"/>
          <w:u w:val="single"/>
        </w:rPr>
        <w:t xml:space="preserve">                            </w:t>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开户银行：                                    </w:t>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开户名称：                                    </w:t>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开户账号：</w:t>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乙方8：</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rPr>
        <w:t xml:space="preserve">（盖章）    </w:t>
      </w:r>
      <w:r/>
    </w:p>
    <w:p>
      <w:pPr>
        <w:pStyle w:val="1062"/>
        <w:ind w:firstLine="480"/>
        <w:keepLines w:val="0"/>
        <w:keepNext w:val="0"/>
        <w:pageBreakBefore w:val="0"/>
        <w:spacing w:line="360" w:lineRule="auto"/>
        <w:widowControl/>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地址：</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rPr>
        <w:t xml:space="preserve">  </w:t>
      </w:r>
      <w:r/>
    </w:p>
    <w:p>
      <w:pPr>
        <w:pStyle w:val="1062"/>
        <w:ind w:firstLine="480"/>
        <w:keepLines w:val="0"/>
        <w:keepNext w:val="0"/>
        <w:pageBreakBefore w:val="0"/>
        <w:spacing w:line="360" w:lineRule="auto"/>
        <w:widowControl/>
        <w:rPr>
          <w:rStyle w:val="739"/>
          <w:rFonts w:hint="eastAsia" w:ascii="仿宋" w:hAnsi="仿宋" w:eastAsia="仿宋" w:cs="仿宋"/>
          <w:color w:val="auto"/>
          <w:sz w:val="24"/>
          <w:highlight w:val="none"/>
          <w:u w:val="single"/>
        </w:rPr>
      </w:pPr>
      <w:r>
        <w:rPr>
          <w:rStyle w:val="739"/>
          <w:rFonts w:hint="eastAsia" w:ascii="仿宋" w:hAnsi="仿宋" w:eastAsia="仿宋" w:cs="仿宋"/>
          <w:color w:val="auto"/>
          <w:sz w:val="24"/>
          <w:highlight w:val="none"/>
        </w:rPr>
        <w:t xml:space="preserve">法定（授权）代表人：</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u w:val="none"/>
          <w:lang w:eastAsia="zh-CN"/>
        </w:rPr>
        <w:t xml:space="preserve">（</w:t>
      </w:r>
      <w:r>
        <w:rPr>
          <w:rStyle w:val="739"/>
          <w:rFonts w:hint="eastAsia" w:ascii="仿宋" w:hAnsi="仿宋" w:eastAsia="仿宋" w:cs="仿宋"/>
          <w:color w:val="auto"/>
          <w:sz w:val="24"/>
          <w:highlight w:val="none"/>
          <w:u w:val="none"/>
          <w:lang w:val="en-US" w:eastAsia="zh-CN"/>
        </w:rPr>
        <w:t xml:space="preserve">签字或盖章</w:t>
      </w:r>
      <w:r>
        <w:rPr>
          <w:rStyle w:val="739"/>
          <w:rFonts w:hint="eastAsia" w:ascii="仿宋" w:hAnsi="仿宋" w:eastAsia="仿宋" w:cs="仿宋"/>
          <w:color w:val="auto"/>
          <w:sz w:val="24"/>
          <w:highlight w:val="none"/>
          <w:u w:val="none"/>
          <w:lang w:eastAsia="zh-CN"/>
        </w:rPr>
        <w:t xml:space="preserve">）</w:t>
      </w:r>
      <w:r>
        <w:rPr>
          <w:rStyle w:val="739"/>
          <w:rFonts w:hint="eastAsia" w:ascii="仿宋" w:hAnsi="仿宋" w:eastAsia="仿宋" w:cs="仿宋"/>
          <w:color w:val="auto"/>
          <w:sz w:val="24"/>
          <w:highlight w:val="none"/>
        </w:rPr>
        <w:t xml:space="preserve"> </w:t>
      </w:r>
      <w:r/>
    </w:p>
    <w:p>
      <w:pPr>
        <w:pStyle w:val="1062"/>
        <w:ind w:firstLine="480"/>
        <w:keepLines w:val="0"/>
        <w:keepNext w:val="0"/>
        <w:pageBreakBefore w:val="0"/>
        <w:spacing w:line="360" w:lineRule="auto"/>
        <w:widowControl/>
        <w:rPr>
          <w:rStyle w:val="739"/>
          <w:rFonts w:hint="eastAsia" w:ascii="仿宋" w:hAnsi="仿宋" w:eastAsia="仿宋" w:cs="仿宋"/>
          <w:color w:val="auto"/>
          <w:highlight w:val="none"/>
          <w:u w:val="single"/>
        </w:rPr>
      </w:pPr>
      <w:r>
        <w:rPr>
          <w:rStyle w:val="739"/>
          <w:rFonts w:hint="eastAsia" w:ascii="仿宋" w:hAnsi="仿宋" w:eastAsia="仿宋" w:cs="仿宋"/>
          <w:color w:val="auto"/>
          <w:sz w:val="24"/>
          <w:highlight w:val="none"/>
        </w:rPr>
        <w:t xml:space="preserve">联系电话：</w:t>
      </w:r>
      <w:r>
        <w:rPr>
          <w:rStyle w:val="739"/>
          <w:rFonts w:hint="eastAsia" w:ascii="仿宋" w:hAnsi="仿宋" w:eastAsia="仿宋" w:cs="仿宋"/>
          <w:color w:val="auto"/>
          <w:sz w:val="24"/>
          <w:highlight w:val="none"/>
          <w:u w:val="single"/>
        </w:rPr>
        <w:t xml:space="preserve">                            </w:t>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开户银行：                                    </w:t>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开户名称：                                    </w:t>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开户账号：</w:t>
      </w:r>
      <w:r/>
    </w:p>
    <w:p>
      <w:pPr>
        <w:pStyle w:val="1064"/>
        <w:ind w:firstLine="480"/>
        <w:keepLines w:val="0"/>
        <w:keepNext w:val="0"/>
        <w:pageBreakBefore w:val="0"/>
        <w:spacing w:line="360" w:lineRule="auto"/>
        <w:rPr>
          <w:rStyle w:val="739"/>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乙方9：</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rPr>
        <w:t xml:space="preserve">（盖章）    </w:t>
      </w:r>
      <w:r/>
    </w:p>
    <w:p>
      <w:pPr>
        <w:pStyle w:val="1062"/>
        <w:ind w:firstLine="480"/>
        <w:keepLines w:val="0"/>
        <w:keepNext w:val="0"/>
        <w:pageBreakBefore w:val="0"/>
        <w:spacing w:line="360" w:lineRule="auto"/>
        <w:widowControl/>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地址：</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rPr>
        <w:t xml:space="preserve">  </w:t>
      </w:r>
      <w:r/>
    </w:p>
    <w:p>
      <w:pPr>
        <w:pStyle w:val="1062"/>
        <w:ind w:firstLine="480"/>
        <w:keepLines w:val="0"/>
        <w:keepNext w:val="0"/>
        <w:pageBreakBefore w:val="0"/>
        <w:spacing w:line="360" w:lineRule="auto"/>
        <w:widowControl/>
        <w:rPr>
          <w:rStyle w:val="739"/>
          <w:rFonts w:hint="eastAsia" w:ascii="仿宋" w:hAnsi="仿宋" w:eastAsia="仿宋" w:cs="仿宋"/>
          <w:color w:val="auto"/>
          <w:sz w:val="24"/>
          <w:highlight w:val="none"/>
          <w:u w:val="single"/>
        </w:rPr>
      </w:pPr>
      <w:r>
        <w:rPr>
          <w:rStyle w:val="739"/>
          <w:rFonts w:hint="eastAsia" w:ascii="仿宋" w:hAnsi="仿宋" w:eastAsia="仿宋" w:cs="仿宋"/>
          <w:color w:val="auto"/>
          <w:sz w:val="24"/>
          <w:highlight w:val="none"/>
        </w:rPr>
        <w:t xml:space="preserve">法定（授权）代表人：</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u w:val="none"/>
          <w:lang w:eastAsia="zh-CN"/>
        </w:rPr>
        <w:t xml:space="preserve">（</w:t>
      </w:r>
      <w:r>
        <w:rPr>
          <w:rStyle w:val="739"/>
          <w:rFonts w:hint="eastAsia" w:ascii="仿宋" w:hAnsi="仿宋" w:eastAsia="仿宋" w:cs="仿宋"/>
          <w:color w:val="auto"/>
          <w:sz w:val="24"/>
          <w:highlight w:val="none"/>
          <w:u w:val="none"/>
          <w:lang w:val="en-US" w:eastAsia="zh-CN"/>
        </w:rPr>
        <w:t xml:space="preserve">签字或盖章</w:t>
      </w:r>
      <w:r>
        <w:rPr>
          <w:rStyle w:val="739"/>
          <w:rFonts w:hint="eastAsia" w:ascii="仿宋" w:hAnsi="仿宋" w:eastAsia="仿宋" w:cs="仿宋"/>
          <w:color w:val="auto"/>
          <w:sz w:val="24"/>
          <w:highlight w:val="none"/>
          <w:u w:val="none"/>
          <w:lang w:eastAsia="zh-CN"/>
        </w:rPr>
        <w:t xml:space="preserve">）</w:t>
      </w:r>
      <w:r>
        <w:rPr>
          <w:rStyle w:val="739"/>
          <w:rFonts w:hint="eastAsia" w:ascii="仿宋" w:hAnsi="仿宋" w:eastAsia="仿宋" w:cs="仿宋"/>
          <w:color w:val="auto"/>
          <w:sz w:val="24"/>
          <w:highlight w:val="none"/>
        </w:rPr>
        <w:t xml:space="preserve"> </w:t>
      </w:r>
      <w:r/>
    </w:p>
    <w:p>
      <w:pPr>
        <w:pStyle w:val="1062"/>
        <w:ind w:firstLine="480"/>
        <w:keepLines w:val="0"/>
        <w:keepNext w:val="0"/>
        <w:pageBreakBefore w:val="0"/>
        <w:spacing w:line="360" w:lineRule="auto"/>
        <w:widowControl/>
        <w:rPr>
          <w:rStyle w:val="739"/>
          <w:rFonts w:hint="eastAsia" w:ascii="仿宋" w:hAnsi="仿宋" w:eastAsia="仿宋" w:cs="仿宋"/>
          <w:color w:val="auto"/>
          <w:highlight w:val="none"/>
          <w:u w:val="single"/>
        </w:rPr>
      </w:pPr>
      <w:r>
        <w:rPr>
          <w:rStyle w:val="739"/>
          <w:rFonts w:hint="eastAsia" w:ascii="仿宋" w:hAnsi="仿宋" w:eastAsia="仿宋" w:cs="仿宋"/>
          <w:color w:val="auto"/>
          <w:sz w:val="24"/>
          <w:highlight w:val="none"/>
        </w:rPr>
        <w:t xml:space="preserve">联系电话：</w:t>
      </w:r>
      <w:r>
        <w:rPr>
          <w:rStyle w:val="739"/>
          <w:rFonts w:hint="eastAsia" w:ascii="仿宋" w:hAnsi="仿宋" w:eastAsia="仿宋" w:cs="仿宋"/>
          <w:color w:val="auto"/>
          <w:sz w:val="24"/>
          <w:highlight w:val="none"/>
          <w:u w:val="single"/>
        </w:rPr>
        <w:t xml:space="preserve">                            </w:t>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开户银行：                                    </w:t>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开户名称：                                    </w:t>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开户账号：</w:t>
      </w:r>
      <w:r/>
    </w:p>
    <w:p>
      <w:pPr>
        <w:pStyle w:val="1064"/>
        <w:ind w:firstLine="480"/>
        <w:keepLines w:val="0"/>
        <w:keepNext w:val="0"/>
        <w:pageBreakBefore w:val="0"/>
        <w:spacing w:line="360" w:lineRule="auto"/>
        <w:rPr>
          <w:rStyle w:val="739"/>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乙方10：</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rPr>
        <w:t xml:space="preserve">（盖章）    </w:t>
      </w:r>
      <w:r/>
    </w:p>
    <w:p>
      <w:pPr>
        <w:pStyle w:val="1062"/>
        <w:ind w:firstLine="480"/>
        <w:keepLines w:val="0"/>
        <w:keepNext w:val="0"/>
        <w:pageBreakBefore w:val="0"/>
        <w:spacing w:line="360" w:lineRule="auto"/>
        <w:widowControl/>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地址：</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rPr>
        <w:t xml:space="preserve">  </w:t>
      </w:r>
      <w:r/>
    </w:p>
    <w:p>
      <w:pPr>
        <w:pStyle w:val="1062"/>
        <w:ind w:firstLine="480"/>
        <w:keepLines w:val="0"/>
        <w:keepNext w:val="0"/>
        <w:pageBreakBefore w:val="0"/>
        <w:spacing w:line="360" w:lineRule="auto"/>
        <w:widowControl/>
        <w:rPr>
          <w:rStyle w:val="739"/>
          <w:rFonts w:hint="eastAsia" w:ascii="仿宋" w:hAnsi="仿宋" w:eastAsia="仿宋" w:cs="仿宋"/>
          <w:color w:val="auto"/>
          <w:sz w:val="24"/>
          <w:highlight w:val="none"/>
          <w:u w:val="single"/>
        </w:rPr>
      </w:pPr>
      <w:r>
        <w:rPr>
          <w:rStyle w:val="739"/>
          <w:rFonts w:hint="eastAsia" w:ascii="仿宋" w:hAnsi="仿宋" w:eastAsia="仿宋" w:cs="仿宋"/>
          <w:color w:val="auto"/>
          <w:sz w:val="24"/>
          <w:highlight w:val="none"/>
        </w:rPr>
        <w:t xml:space="preserve">法定（授权）代表人：</w:t>
      </w:r>
      <w:r>
        <w:rPr>
          <w:rStyle w:val="739"/>
          <w:rFonts w:hint="eastAsia" w:ascii="仿宋" w:hAnsi="仿宋" w:eastAsia="仿宋" w:cs="仿宋"/>
          <w:color w:val="auto"/>
          <w:sz w:val="24"/>
          <w:highlight w:val="none"/>
          <w:u w:val="single"/>
        </w:rPr>
        <w:t xml:space="preserve">                  </w:t>
      </w:r>
      <w:r>
        <w:rPr>
          <w:rStyle w:val="739"/>
          <w:rFonts w:hint="eastAsia" w:ascii="仿宋" w:hAnsi="仿宋" w:eastAsia="仿宋" w:cs="仿宋"/>
          <w:color w:val="auto"/>
          <w:sz w:val="24"/>
          <w:highlight w:val="none"/>
          <w:u w:val="none"/>
          <w:lang w:eastAsia="zh-CN"/>
        </w:rPr>
        <w:t xml:space="preserve">（</w:t>
      </w:r>
      <w:r>
        <w:rPr>
          <w:rStyle w:val="739"/>
          <w:rFonts w:hint="eastAsia" w:ascii="仿宋" w:hAnsi="仿宋" w:eastAsia="仿宋" w:cs="仿宋"/>
          <w:color w:val="auto"/>
          <w:sz w:val="24"/>
          <w:highlight w:val="none"/>
          <w:u w:val="none"/>
          <w:lang w:val="en-US" w:eastAsia="zh-CN"/>
        </w:rPr>
        <w:t xml:space="preserve">签字或盖章</w:t>
      </w:r>
      <w:r>
        <w:rPr>
          <w:rStyle w:val="739"/>
          <w:rFonts w:hint="eastAsia" w:ascii="仿宋" w:hAnsi="仿宋" w:eastAsia="仿宋" w:cs="仿宋"/>
          <w:color w:val="auto"/>
          <w:sz w:val="24"/>
          <w:highlight w:val="none"/>
          <w:u w:val="none"/>
          <w:lang w:eastAsia="zh-CN"/>
        </w:rPr>
        <w:t xml:space="preserve">）</w:t>
      </w:r>
      <w:r>
        <w:rPr>
          <w:rStyle w:val="739"/>
          <w:rFonts w:hint="eastAsia" w:ascii="仿宋" w:hAnsi="仿宋" w:eastAsia="仿宋" w:cs="仿宋"/>
          <w:color w:val="auto"/>
          <w:sz w:val="24"/>
          <w:highlight w:val="none"/>
        </w:rPr>
        <w:t xml:space="preserve"> </w:t>
      </w:r>
      <w:r/>
    </w:p>
    <w:p>
      <w:pPr>
        <w:pStyle w:val="1062"/>
        <w:ind w:firstLine="480"/>
        <w:keepLines w:val="0"/>
        <w:keepNext w:val="0"/>
        <w:pageBreakBefore w:val="0"/>
        <w:spacing w:line="360" w:lineRule="auto"/>
        <w:widowControl/>
        <w:rPr>
          <w:rStyle w:val="739"/>
          <w:rFonts w:hint="eastAsia" w:ascii="仿宋" w:hAnsi="仿宋" w:eastAsia="仿宋" w:cs="仿宋"/>
          <w:color w:val="auto"/>
          <w:highlight w:val="none"/>
          <w:u w:val="single"/>
        </w:rPr>
      </w:pPr>
      <w:r>
        <w:rPr>
          <w:rStyle w:val="739"/>
          <w:rFonts w:hint="eastAsia" w:ascii="仿宋" w:hAnsi="仿宋" w:eastAsia="仿宋" w:cs="仿宋"/>
          <w:color w:val="auto"/>
          <w:sz w:val="24"/>
          <w:highlight w:val="none"/>
        </w:rPr>
        <w:t xml:space="preserve">联系电话：</w:t>
      </w:r>
      <w:r>
        <w:rPr>
          <w:rStyle w:val="739"/>
          <w:rFonts w:hint="eastAsia" w:ascii="仿宋" w:hAnsi="仿宋" w:eastAsia="仿宋" w:cs="仿宋"/>
          <w:color w:val="auto"/>
          <w:sz w:val="24"/>
          <w:highlight w:val="none"/>
          <w:u w:val="single"/>
        </w:rPr>
        <w:t xml:space="preserve">                            </w:t>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开户银行：                                    </w:t>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pPr>
      <w:r>
        <w:rPr>
          <w:rStyle w:val="739"/>
          <w:rFonts w:hint="eastAsia" w:ascii="仿宋" w:hAnsi="仿宋" w:eastAsia="仿宋" w:cs="仿宋"/>
          <w:color w:val="auto"/>
          <w:sz w:val="24"/>
          <w:highlight w:val="none"/>
        </w:rPr>
        <w:t xml:space="preserve">开户名称：                                    </w:t>
      </w:r>
      <w:r/>
    </w:p>
    <w:p>
      <w:pPr>
        <w:pStyle w:val="1062"/>
        <w:ind w:firstLine="480"/>
        <w:keepLines w:val="0"/>
        <w:keepNext w:val="0"/>
        <w:pageBreakBefore w:val="0"/>
        <w:spacing w:line="360" w:lineRule="auto"/>
        <w:rPr>
          <w:rStyle w:val="739"/>
          <w:rFonts w:hint="eastAsia" w:ascii="仿宋" w:hAnsi="仿宋" w:eastAsia="仿宋" w:cs="仿宋"/>
          <w:color w:val="auto"/>
          <w:sz w:val="24"/>
          <w:highlight w:val="none"/>
        </w:rPr>
        <w:sectPr>
          <w:footnotePr/>
          <w:endnotePr/>
          <w:type w:val="nextPage"/>
          <w:pgSz w:w="11906" w:h="16838" w:orient="portrait"/>
          <w:pgMar w:top="1418" w:right="1588" w:bottom="1418" w:left="1365" w:header="851" w:footer="907" w:gutter="0"/>
          <w:cols w:num="1" w:sep="0" w:space="720" w:equalWidth="1"/>
          <w:docGrid w:linePitch="360"/>
          <w:titlePg/>
        </w:sectPr>
      </w:pPr>
      <w:r>
        <w:rPr>
          <w:rStyle w:val="739"/>
          <w:rFonts w:hint="eastAsia" w:ascii="仿宋" w:hAnsi="仿宋" w:eastAsia="仿宋" w:cs="仿宋"/>
          <w:color w:val="auto"/>
          <w:sz w:val="24"/>
          <w:highlight w:val="none"/>
        </w:rPr>
        <w:t xml:space="preserve">开户账号：</w:t>
      </w:r>
      <w:r/>
    </w:p>
    <w:p>
      <w:pPr>
        <w:pStyle w:val="730"/>
        <w:jc w:val="center"/>
        <w:keepLines/>
        <w:keepNext/>
        <w:pageBreakBefore w:val="0"/>
        <w:spacing w:before="0" w:after="0" w:line="480" w:lineRule="auto"/>
        <w:widowControl w:val="off"/>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第四章   采购需求</w:t>
      </w:r>
      <w:bookmarkEnd w:id="193"/>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项目属性：服务类项目。</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本项目采购标的对应的中小企业划分标准所属行业：</w:t>
      </w:r>
      <w:r>
        <w:rPr>
          <w:rFonts w:hint="eastAsia" w:ascii="仿宋" w:hAnsi="仿宋" w:eastAsia="仿宋" w:cs="仿宋"/>
          <w:color w:val="auto"/>
          <w:sz w:val="24"/>
          <w:szCs w:val="24"/>
          <w:highlight w:val="none"/>
          <w:u w:val="single"/>
        </w:rPr>
        <w:t xml:space="preserve"> 其他未列明行业 </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u w:val="single"/>
        </w:rPr>
        <w:t xml:space="preserve">  不接受 </w:t>
      </w:r>
      <w:r>
        <w:rPr>
          <w:rFonts w:hint="eastAsia" w:ascii="仿宋" w:hAnsi="仿宋" w:eastAsia="仿宋" w:cs="仿宋"/>
          <w:color w:val="auto"/>
          <w:sz w:val="24"/>
          <w:szCs w:val="24"/>
          <w:highlight w:val="none"/>
        </w:rPr>
        <w:t xml:space="preserve">（接受/不接受）进口产品。</w:t>
      </w:r>
      <w:r/>
    </w:p>
    <w:p>
      <w:pPr>
        <w:ind w:firstLine="482"/>
        <w:keepLines w:val="0"/>
        <w:keepNext w:val="0"/>
        <w:pageBreakBefore w:val="0"/>
        <w:spacing w:line="360" w:lineRule="auto"/>
        <w:widowControl w:val="off"/>
        <w:rPr>
          <w:rFonts w:hint="eastAsia" w:ascii="仿宋" w:hAnsi="仿宋" w:eastAsia="仿宋" w:cs="仿宋"/>
          <w:b/>
          <w:bCs w:val="0"/>
          <w:color w:val="auto"/>
          <w:sz w:val="24"/>
          <w:szCs w:val="24"/>
          <w:highlight w:val="none"/>
          <w:lang w:eastAsia="zh-CN"/>
        </w:rPr>
      </w:pPr>
      <w:r>
        <w:rPr>
          <w:rFonts w:hint="eastAsia" w:ascii="仿宋" w:hAnsi="仿宋" w:eastAsia="仿宋" w:cs="仿宋"/>
          <w:b/>
          <w:bCs w:val="0"/>
          <w:color w:val="auto"/>
          <w:sz w:val="24"/>
          <w:szCs w:val="24"/>
          <w:highlight w:val="none"/>
        </w:rPr>
        <w:t xml:space="preserve">一、项目</w:t>
      </w:r>
      <w:r>
        <w:rPr>
          <w:rFonts w:hint="eastAsia" w:ascii="仿宋" w:hAnsi="仿宋" w:eastAsia="仿宋" w:cs="仿宋"/>
          <w:b/>
          <w:bCs w:val="0"/>
          <w:color w:val="auto"/>
          <w:sz w:val="24"/>
          <w:szCs w:val="24"/>
          <w:highlight w:val="none"/>
          <w:lang w:val="en-US" w:eastAsia="zh-CN"/>
        </w:rPr>
        <w:t xml:space="preserve">概况</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项目概述</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为贯彻落实党的二十大关于建立长期护理保险制度的决策部署，根据《市政府关于建立长期护理保险制度的实施意见》（宿政规发〔2023〕6号）要求，宿迁市长期护理保险制度（以下简称“长护险”）实行市级统筹，全市统一基金管理、统一经办服务，统一招标确定承办机构。长护险承办服务费采购人留存用于考核部分，根据各承办机构经办服务的每期末考核结果进行拨付。由于各期参保人数中途可能发生变动，以各期实际划拨的保费为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本次采购宿迁市长期护理保险委托商保公司经办项目</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项目预算金额为364</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万元，其中分包一预算金额为1930.79万元，分包二预算金额为983.61万元，分包三预算金额为209.837万元，分包四预算金额为139.891万元，分包五预算金额为91.075万元，分包六预算金额为69.581万元，分包七预算金额为66.667万元，分包八预算金额为60.838万元，分包九预算金额为46.266万元，分包十预算金额为44.445万元。</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项目最高限价为3640万元，其中分包一最高限价为1929.20万元，分包二最高限价为982.80万元，分包三最高限价为209.664万元，分包四最高限价为139.776万元，分包五最高限价为91.00万元，分包六最高限价为69.524万元，分包七最高限价为66.612万元，分包八最高限价为60.788万元，分包九最高限价为46.228万元，分包十最高限价为44.408万元。</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（1）承办服务费最高为按照3.</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元/每服务一个参保人员·年</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（2）亏损率（绝对值）期望值最高为2%。</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按照</w:t>
      </w:r>
      <w:r>
        <w:rPr>
          <w:rFonts w:hint="eastAsia" w:ascii="仿宋" w:hAnsi="仿宋" w:eastAsia="仿宋" w:cs="仿宋"/>
          <w:color w:val="auto"/>
          <w:sz w:val="24"/>
          <w:szCs w:val="24"/>
          <w:highlight w:val="none"/>
          <w:lang w:eastAsia="zh-CN"/>
        </w:rPr>
        <w:t xml:space="preserve">承保份额</w:t>
      </w:r>
      <w:r>
        <w:rPr>
          <w:rFonts w:hint="eastAsia" w:ascii="仿宋" w:hAnsi="仿宋" w:eastAsia="仿宋" w:cs="仿宋"/>
          <w:color w:val="auto"/>
          <w:sz w:val="24"/>
          <w:szCs w:val="24"/>
          <w:highlight w:val="none"/>
          <w:lang w:eastAsia="zh-CN"/>
        </w:rPr>
        <w:t xml:space="preserve">分为十个采购包确定保险机构作为本项目的承保人</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分包一：最高限价为1929.20万元，承保份额为53%；</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分包二：最高限价为982.80万元，承保份额为27%；</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分包三：最高限价为209.664万元，承保份额为5.76%；</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分包四：最高限价为139.776万元，承保份额为3.84%；</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分包五：最高限价为91.00万元，承保份额为2.50%；</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分包六：最高限价为69.524万元，承保份额为1.91%；</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分包七：最高限价为66.612万元，承保份额为1.83%；</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分包八：最高限价为60.788万元，承保份额为1.67%；</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分包九：最高限价为46.228万元，承保份额为1.27%；</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分包十：最高限价为44.408万元，承保份额为1.22%。</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投标分包选择：</w:t>
      </w:r>
      <w:r>
        <w:rPr>
          <w:rFonts w:hint="eastAsia" w:ascii="仿宋" w:hAnsi="仿宋" w:eastAsia="仿宋" w:cs="仿宋"/>
          <w:color w:val="auto"/>
          <w:sz w:val="24"/>
          <w:szCs w:val="24"/>
          <w:highlight w:val="none"/>
          <w:lang w:eastAsia="zh-CN"/>
        </w:rPr>
        <w:t xml:space="preserve">为保证上述分包所涉及的县（区）</w:t>
      </w:r>
      <w:r>
        <w:rPr>
          <w:rFonts w:hint="eastAsia" w:ascii="仿宋" w:hAnsi="仿宋" w:eastAsia="仿宋" w:cs="仿宋"/>
          <w:color w:val="auto"/>
          <w:sz w:val="24"/>
          <w:szCs w:val="24"/>
          <w:highlight w:val="none"/>
          <w:lang w:eastAsia="zh-CN"/>
        </w:rPr>
        <w:t xml:space="preserve">长护险</w:t>
      </w:r>
      <w:r>
        <w:rPr>
          <w:rFonts w:hint="eastAsia" w:ascii="仿宋" w:hAnsi="仿宋" w:eastAsia="仿宋" w:cs="仿宋"/>
          <w:color w:val="auto"/>
          <w:sz w:val="24"/>
          <w:szCs w:val="24"/>
          <w:highlight w:val="none"/>
          <w:lang w:eastAsia="zh-CN"/>
        </w:rPr>
        <w:t xml:space="preserve">工作推进的同步性</w:t>
      </w:r>
      <w:r>
        <w:rPr>
          <w:rFonts w:hint="eastAsia" w:ascii="仿宋" w:hAnsi="仿宋" w:eastAsia="仿宋" w:cs="仿宋"/>
          <w:color w:val="auto"/>
          <w:sz w:val="24"/>
          <w:szCs w:val="24"/>
          <w:highlight w:val="none"/>
        </w:rPr>
        <w:t xml:space="preserve">，投标人可参与任意分包或全部分包的投标。</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开标顺序：按分包序号从小到大依次，即先开分包一，再开分包二，后开分包三，以此类推。评标顺序同开标顺序。</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定标原则：按“兼投不兼中”的原则，每位投标人只能在一个分包上中标。如某投标人已在分包一被推荐为第一中标候选人的，则其参与分包二、分包三评标，但在分包二、分包三不参与推荐中标候选人的排序，以此类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若有分包无合格中标候选人，则该分包份额由分包一中标候选人承担。</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注：评审结束后，若其中一个分包受到质疑投诉等原因，导致本分包评审结果改变，但不影响其他分包的评审结果。</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（二）基本原则</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坚持以人为本，着力解决重度失能人员长期护理保障问题。</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坚持独立运行，独立险种，独立设计，统筹推进。</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坚持保障基本，低水平起步，以收定支，合理确定保障范围和待遇标准。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坚持责任分担，遵循权利义务对等，多渠道筹资，合理划分筹资责任和保障责任。</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坚持市级统筹，全市统一待遇政策、统一基金管理、统一经办管理、统一信息系统、统一监督管理。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（三）筹资标准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长护险筹资标准：基金由个人缴费、职工基本医保统筹基金划拨两部分组成，其中个人缴费标准为每人每年20元、医保统筹基金划拨每人每年</w:t>
      </w: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lang w:eastAsia="zh-CN"/>
        </w:rPr>
        <w:t xml:space="preserve">元。企事业单位、慈善机构等社会团体和个人给予捐助的资金，纳入长护险基金管理。</w:t>
      </w:r>
      <w:r>
        <w:rPr>
          <w:rFonts w:hint="eastAsia" w:ascii="仿宋" w:hAnsi="仿宋" w:eastAsia="仿宋" w:cs="仿宋"/>
          <w:color w:val="auto"/>
          <w:sz w:val="24"/>
          <w:szCs w:val="24"/>
          <w:highlight w:val="none"/>
          <w:lang w:val="en-US" w:eastAsia="zh-CN"/>
        </w:rPr>
        <w:t xml:space="preserve">个人缴纳部分，每年1月底前由经办机构从职工医保个人账户中一次性划转当年度参保费用。个人账户资金余额不足时，从次月账户划入额度中抵扣。年度内新增或中断后续保人员，在首次个人账户划拨时，按全年标准一次缴清当年费用。参加职工医保的灵活就业人员，参照在职职工执行。</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医保统筹基金筹集部分，每年按照参加长护险的人数列入基金支出预算，年初划入长护险基金专户。</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lang w:eastAsia="zh-CN"/>
        </w:rPr>
        <w:t xml:space="preserve">）承保份额</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根据《市政府关于建立长期护理保险制度的实施意见》（宿政规发〔2023〕6号）要求，宿迁市长期护理保险制度（以下简称“长护险”）实行市级统筹，全市统一基金管理、统一经办服务，统一招标确定承办机构。承办方式实行共保体模式，由不超过10个商保公司共同组成长护险共保体。按照每个采购包投标人得分顺序确定第1—10中标人。</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其中，第一中标人为主承保单位，负责做好长护险共保体牵头、各个区域长护险中心、信息系统建设等方面工作；其余中标人为次承保单位，按得分排序，承保相应份额（具体份额占比详见下表），并根据中标份额承担相应人力物力等资源配置，配合主承保单位做好长护险各项工作。</w:t>
      </w:r>
      <w:r/>
    </w:p>
    <w:tbl>
      <w:tblPr>
        <w:tblStyle w:val="740"/>
        <w:tblpPr w:horzAnchor="text" w:tblpXSpec="center" w:vertAnchor="text" w:tblpY="1" w:leftFromText="180" w:topFromText="0" w:rightFromText="180" w:bottomFromText="0"/>
        <w:tblW w:w="92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4"/>
        <w:gridCol w:w="2674"/>
        <w:gridCol w:w="2485"/>
        <w:gridCol w:w="2485"/>
      </w:tblGrid>
      <w:tr>
        <w:trPr>
          <w:trHeight w:val="1118" w:hRule="exact"/>
        </w:trPr>
        <w:tc>
          <w:tcPr>
            <w:tcW w:w="1574" w:type="dxa"/>
            <w:vAlign w:val="center"/>
            <w:textDirection w:val="lrTb"/>
            <w:noWrap/>
          </w:tcPr>
          <w:p>
            <w:pPr>
              <w:ind w:left="0" w:firstLine="0"/>
              <w:jc w:val="center"/>
              <w:spacing w:before="0" w:after="0"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采购包序号</w:t>
            </w:r>
            <w:r/>
          </w:p>
        </w:tc>
        <w:tc>
          <w:tcPr>
            <w:tcW w:w="2674" w:type="dxa"/>
            <w:vAlign w:val="center"/>
            <w:textDirection w:val="lrTb"/>
            <w:noWrap/>
          </w:tcPr>
          <w:p>
            <w:pPr>
              <w:ind w:left="0" w:firstLine="0"/>
              <w:jc w:val="center"/>
              <w:spacing w:before="0" w:after="0"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中标人</w:t>
            </w:r>
            <w:r/>
          </w:p>
        </w:tc>
        <w:tc>
          <w:tcPr>
            <w:tcW w:w="2485" w:type="dxa"/>
            <w:vAlign w:val="center"/>
            <w:textDirection w:val="lrTb"/>
            <w:noWrap/>
          </w:tcPr>
          <w:p>
            <w:pPr>
              <w:ind w:left="0" w:firstLine="0"/>
              <w:jc w:val="center"/>
              <w:spacing w:before="0" w:after="0" w:line="500" w:lineRule="exac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2026年度承保份额</w:t>
            </w:r>
            <w:r/>
          </w:p>
        </w:tc>
        <w:tc>
          <w:tcPr>
            <w:tcW w:w="2485" w:type="dxa"/>
            <w:vAlign w:val="center"/>
            <w:textDirection w:val="lrTb"/>
            <w:noWrap/>
          </w:tcPr>
          <w:p>
            <w:pPr>
              <w:ind w:left="0" w:firstLine="0"/>
              <w:jc w:val="center"/>
              <w:spacing w:before="0" w:after="0"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参保人数</w:t>
            </w:r>
            <w:r/>
          </w:p>
        </w:tc>
      </w:tr>
      <w:tr>
        <w:trPr>
          <w:trHeight w:val="496" w:hRule="exact"/>
        </w:trPr>
        <w:tc>
          <w:tcPr>
            <w:tcW w:w="15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w:t>
            </w:r>
            <w:r/>
          </w:p>
        </w:tc>
        <w:tc>
          <w:tcPr>
            <w:tcW w:w="26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第一中标人</w:t>
            </w:r>
            <w:r/>
          </w:p>
        </w:tc>
        <w:tc>
          <w:tcPr>
            <w:tcW w:w="2485"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53.00%</w:t>
            </w:r>
            <w:r/>
          </w:p>
        </w:tc>
        <w:tc>
          <w:tcPr>
            <w:tcW w:w="2485" w:type="dxa"/>
            <w:vAlign w:val="center"/>
            <w:vMerge w:val="restart"/>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职工基本医保参保人数为910000人(不包含苏宿园区参保人员)</w:t>
            </w:r>
            <w:r/>
          </w:p>
        </w:tc>
      </w:tr>
      <w:tr>
        <w:trPr>
          <w:trHeight w:val="496" w:hRule="exact"/>
        </w:trPr>
        <w:tc>
          <w:tcPr>
            <w:tcW w:w="15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w:t>
            </w:r>
            <w:r/>
          </w:p>
        </w:tc>
        <w:tc>
          <w:tcPr>
            <w:tcW w:w="26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第二中标人</w:t>
            </w:r>
            <w:r/>
          </w:p>
        </w:tc>
        <w:tc>
          <w:tcPr>
            <w:tcW w:w="2485"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27.00%</w:t>
            </w:r>
            <w:r/>
          </w:p>
        </w:tc>
        <w:tc>
          <w:tcPr>
            <w:tcW w:w="2485" w:type="dxa"/>
            <w:vAlign w:val="center"/>
            <w:vMerge w:val="continue"/>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496" w:hRule="exact"/>
        </w:trPr>
        <w:tc>
          <w:tcPr>
            <w:tcW w:w="15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w:t>
            </w:r>
            <w:r/>
          </w:p>
        </w:tc>
        <w:tc>
          <w:tcPr>
            <w:tcW w:w="26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第三中标人</w:t>
            </w:r>
            <w:r/>
          </w:p>
        </w:tc>
        <w:tc>
          <w:tcPr>
            <w:tcW w:w="2485"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5.76%</w:t>
            </w:r>
            <w:r/>
          </w:p>
        </w:tc>
        <w:tc>
          <w:tcPr>
            <w:tcW w:w="2485" w:type="dxa"/>
            <w:vAlign w:val="center"/>
            <w:vMerge w:val="continue"/>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496" w:hRule="exact"/>
        </w:trPr>
        <w:tc>
          <w:tcPr>
            <w:tcW w:w="15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w:t>
            </w:r>
            <w:r/>
          </w:p>
        </w:tc>
        <w:tc>
          <w:tcPr>
            <w:tcW w:w="26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第四中标人</w:t>
            </w:r>
            <w:r/>
          </w:p>
        </w:tc>
        <w:tc>
          <w:tcPr>
            <w:tcW w:w="2485"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3.84%</w:t>
            </w:r>
            <w:r/>
          </w:p>
        </w:tc>
        <w:tc>
          <w:tcPr>
            <w:tcW w:w="2485" w:type="dxa"/>
            <w:vAlign w:val="center"/>
            <w:vMerge w:val="continue"/>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496" w:hRule="exact"/>
        </w:trPr>
        <w:tc>
          <w:tcPr>
            <w:tcW w:w="15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w:t>
            </w:r>
            <w:r/>
          </w:p>
        </w:tc>
        <w:tc>
          <w:tcPr>
            <w:tcW w:w="26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第五中标人</w:t>
            </w:r>
            <w:r/>
          </w:p>
        </w:tc>
        <w:tc>
          <w:tcPr>
            <w:tcW w:w="2485"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2.50%</w:t>
            </w:r>
            <w:r/>
          </w:p>
        </w:tc>
        <w:tc>
          <w:tcPr>
            <w:tcW w:w="2485" w:type="dxa"/>
            <w:vAlign w:val="center"/>
            <w:vMerge w:val="continue"/>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496" w:hRule="exact"/>
        </w:trPr>
        <w:tc>
          <w:tcPr>
            <w:tcW w:w="15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w:t>
            </w:r>
            <w:r/>
          </w:p>
        </w:tc>
        <w:tc>
          <w:tcPr>
            <w:tcW w:w="26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第六中标人</w:t>
            </w:r>
            <w:r/>
          </w:p>
        </w:tc>
        <w:tc>
          <w:tcPr>
            <w:tcW w:w="2485"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1.91%</w:t>
            </w:r>
            <w:r/>
          </w:p>
        </w:tc>
        <w:tc>
          <w:tcPr>
            <w:tcW w:w="2485" w:type="dxa"/>
            <w:vAlign w:val="center"/>
            <w:vMerge w:val="continue"/>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496" w:hRule="exact"/>
        </w:trPr>
        <w:tc>
          <w:tcPr>
            <w:tcW w:w="15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w:t>
            </w:r>
            <w:r/>
          </w:p>
        </w:tc>
        <w:tc>
          <w:tcPr>
            <w:tcW w:w="26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第七中标人</w:t>
            </w:r>
            <w:r/>
          </w:p>
        </w:tc>
        <w:tc>
          <w:tcPr>
            <w:tcW w:w="2485"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1.83%</w:t>
            </w:r>
            <w:r/>
          </w:p>
        </w:tc>
        <w:tc>
          <w:tcPr>
            <w:tcW w:w="2485" w:type="dxa"/>
            <w:vAlign w:val="center"/>
            <w:vMerge w:val="continue"/>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496" w:hRule="exact"/>
        </w:trPr>
        <w:tc>
          <w:tcPr>
            <w:tcW w:w="15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w:t>
            </w:r>
            <w:r/>
          </w:p>
        </w:tc>
        <w:tc>
          <w:tcPr>
            <w:tcW w:w="26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第八中标人</w:t>
            </w:r>
            <w:r/>
          </w:p>
        </w:tc>
        <w:tc>
          <w:tcPr>
            <w:tcW w:w="2485"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1.67%</w:t>
            </w:r>
            <w:r/>
          </w:p>
        </w:tc>
        <w:tc>
          <w:tcPr>
            <w:tcW w:w="2485" w:type="dxa"/>
            <w:vAlign w:val="center"/>
            <w:vMerge w:val="continue"/>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496" w:hRule="exact"/>
        </w:trPr>
        <w:tc>
          <w:tcPr>
            <w:tcW w:w="15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9</w:t>
            </w:r>
            <w:r/>
          </w:p>
        </w:tc>
        <w:tc>
          <w:tcPr>
            <w:tcW w:w="26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第九中标人</w:t>
            </w:r>
            <w:r/>
          </w:p>
        </w:tc>
        <w:tc>
          <w:tcPr>
            <w:tcW w:w="2485"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1.27%</w:t>
            </w:r>
            <w:r/>
          </w:p>
        </w:tc>
        <w:tc>
          <w:tcPr>
            <w:tcW w:w="2485" w:type="dxa"/>
            <w:vAlign w:val="center"/>
            <w:vMerge w:val="continue"/>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533" w:hRule="exact"/>
        </w:trPr>
        <w:tc>
          <w:tcPr>
            <w:tcW w:w="15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w:t>
            </w:r>
            <w:r/>
          </w:p>
        </w:tc>
        <w:tc>
          <w:tcPr>
            <w:tcW w:w="26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第十中标人</w:t>
            </w:r>
            <w:r/>
          </w:p>
        </w:tc>
        <w:tc>
          <w:tcPr>
            <w:tcW w:w="2485"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1.22%</w:t>
            </w:r>
            <w:r/>
          </w:p>
        </w:tc>
        <w:tc>
          <w:tcPr>
            <w:tcW w:w="2485" w:type="dxa"/>
            <w:vAlign w:val="center"/>
            <w:vMerge w:val="continue"/>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bl>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本项目如第一中标人发生不能履行主承保单位职责情形时，由第二中标人代为承担相关工作职责；如其他中标人不能履行承保单位职责情形时，由排在第一的中标人承担相应份额及工作职责。长护险承办服务费采购人留存用于考核部分，根据各承办机构经办服务的每期末考核结果进行拨付。</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由于各期参保人数中途可能发生变动，以各期实际划拨的保费为准。</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 xml:space="preserve">二、</w:t>
      </w:r>
      <w:r>
        <w:rPr>
          <w:rFonts w:hint="eastAsia" w:ascii="仿宋" w:hAnsi="仿宋" w:eastAsia="仿宋" w:cs="仿宋"/>
          <w:b/>
          <w:bCs/>
          <w:color w:val="auto"/>
          <w:sz w:val="24"/>
          <w:szCs w:val="24"/>
          <w:highlight w:val="none"/>
          <w:lang w:val="en-US" w:eastAsia="zh-CN"/>
        </w:rPr>
        <w:t xml:space="preserve">合同签订方式、履行期限及地点</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（一）合同签订方式：网上签订。</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服务期：</w:t>
      </w:r>
      <w:r>
        <w:rPr>
          <w:rFonts w:hint="eastAsia" w:ascii="仿宋" w:hAnsi="仿宋" w:eastAsia="仿宋" w:cs="仿宋"/>
          <w:color w:val="auto"/>
          <w:sz w:val="24"/>
          <w:szCs w:val="24"/>
          <w:highlight w:val="none"/>
          <w:lang w:eastAsia="zh-CN"/>
        </w:rPr>
        <w:t xml:space="preserve">2026年1月1日至2026年12月31日。</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注：服务期内将进行考核；服务期满，采购人根据政府采购的相关规定，另行组织招标采购。因考核不合格或政策、经办管理模式发生重大变化等原因，采购人有权单方面终止服务合同，中标人应无条件服从。</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服务地点：宿迁市，具体由采购人指定。</w:t>
      </w:r>
      <w:r/>
    </w:p>
    <w:p>
      <w:pPr>
        <w:ind w:firstLine="48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三、付款方式</w:t>
      </w:r>
      <w:r/>
    </w:p>
    <w:p>
      <w:pPr>
        <w:ind w:firstLine="480"/>
        <w:keepLines w:val="0"/>
        <w:keepNext w:val="0"/>
        <w:pageBreakBefore w:val="0"/>
        <w:spacing w:line="360" w:lineRule="auto"/>
        <w:widowControl w:val="off"/>
        <w:rPr>
          <w:rFonts w:hint="eastAsia" w:ascii="仿宋" w:hAnsi="仿宋" w:eastAsia="仿宋" w:cs="仿宋"/>
          <w:bCs/>
          <w:color w:val="auto"/>
          <w:sz w:val="24"/>
          <w:szCs w:val="21"/>
          <w:highlight w:val="none"/>
          <w:lang w:val="zh-CN" w:eastAsia="zh-CN" w:bidi="ar-SA"/>
        </w:rPr>
      </w:pPr>
      <w:r>
        <w:rPr>
          <w:rFonts w:hint="eastAsia" w:ascii="仿宋" w:hAnsi="仿宋" w:eastAsia="仿宋" w:cs="仿宋"/>
          <w:bCs/>
          <w:color w:val="auto"/>
          <w:sz w:val="24"/>
          <w:szCs w:val="21"/>
          <w:highlight w:val="none"/>
          <w:lang w:val="zh-CN" w:eastAsia="zh-CN" w:bidi="ar-SA"/>
        </w:rPr>
        <w:t xml:space="preserve">对于满足合同约定支付条件的，自收到发票后10个工作日内将资金支付到合同约定的投标人账户或投标人数字人民币账户。</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1.签订合同且收到发票后10个工作日内，支付10%的合同款作为预付款；</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2.承办服务费。承办商保机构的当期承办服务费从当期长护险基金收入中计提，计提</w:t>
      </w:r>
      <w:r>
        <w:rPr>
          <w:rFonts w:hint="eastAsia" w:ascii="仿宋" w:hAnsi="仿宋" w:eastAsia="仿宋" w:cs="仿宋"/>
          <w:color w:val="auto"/>
          <w:sz w:val="24"/>
          <w:szCs w:val="24"/>
          <w:highlight w:val="none"/>
          <w:lang w:val="en-US" w:eastAsia="zh-CN" w:bidi="ar-SA"/>
        </w:rPr>
        <w:t xml:space="preserve">标准以本次招标所有中标人“承办服务费”报价平均值确定,后期综合考虑服务人口、机构运营成本、工作绩效等因素，合理调整承办服务费。承办服务费从长护险基金中支付。每季度初，医保经办机构拨付上个季度承办服务费的95%给商保机构。次年初，根据协议履行情况、服务对象满意度情况及当期考核结果，进行当期结算。招录的经办服务人员薪酬、保险及福利费用，办公经费，稽核费用，培训费，宣传费，交通工具相关费用，以及长护险服务场所建设费用、办公装备设施费用、信息系统费用(含软件开发、硬件设备、安全等保)一次性投入均摊等列入承办服务费。</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失能人员在宿迁市内，发生的符合长护险失能评估、护理服务项目范围和标准的费用(由市医疗保障局另行制定),从长护险基金中支付；超出长护险护理服务项目范围和标准的护理费用，长护险基金不予支付，由失能人员个人承担，并与定点服务机构直接结算。</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4.采购人建立与服务对象满意度、评估质量、护理服务质量挂钩的考核结算机制。可通过约定预留款等方式，每期末根据考核结果进行费用清算。</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5.根据上月长护险待遇享受人数、待遇标准和实际享受待遇时间，按照协议约定与定点服务机构结算费用，发放至失能人员银行卡（社保卡）账户。</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6.每月由共保体向采购人提交长护险支付费用情况表(表样由采购人提供),每月编报长护险运行分析报告，按考核当期提交总结报告。</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7.保费与承办服务费分别建账、核算、考核。</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7.1采购人按每保险期的筹资标准及期初人数，计算长护险基金收入，将基金收入划分长护险保费与长护险承办服务费两个科目。其中承办服务费按招标确定的承办服务费基准标准计提，其余计提划入长护险保费。</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7.2共保体相应建立以上两个科目。合同期内，每季度初采购人按上季度长护险基金支出和承办服务费（年初参保人数25%确定计提标准）的95%向共保体分别拨付两个科目的预付资金，其余部分留存采购人，分别用于对共保体各期末综合考核和承办服务质量考核，根据考核结果及时清算，如有结余，结余部分返还基金。</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8.盈亏处理</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长护险按照“以收定支、收支平衡、略有盈余”的原则建立风险共担机制。长护险保费收支结余如出现亏损，亏损2%(含)以内的部分由承办商保机构承担，2%以上的部分，经医疗保障行政部门综合评定后，对因政策调整导致的亏损部分，由基金承担，除政策调整原因以外导致的亏损部分，由承办商保机构承担；由采购人根据实际情况最终确定。</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如有盈利，则盈利部分全额返还基金。承办服务费结余归采购人所有，超支的由共保体承担。</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盈利率或亏损率计算公式：[(本期长护险实际保费-本期长护险待遇支出-本期长护险评估费用支出)/本期长护险实际保费]×100%。本期长护险实际保费=当期长护险基金收入-本期长护险承办服务费支出。承办服务费含共保体招录的经办服务人员薪酬、保险及福利费用；办公经费；稽查稽核费用；培训费；宣传费；交通工具相关费用，以及长护险服务场所建设费用、办公装备设施费用、信息系统费用(含软件开发、硬件设备、安全等保)一次性投入均摊等。</w:t>
      </w:r>
      <w:r/>
    </w:p>
    <w:p>
      <w:pPr>
        <w:ind w:right="0" w:firstLine="482"/>
        <w:jc w:val="both"/>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注：1.在签订合同时，中标人明确表示无需预付款或者主动要求降低预付款比例的金额，采购人可不适用预付款规定。</w:t>
      </w:r>
      <w:r/>
    </w:p>
    <w:p>
      <w:pPr>
        <w:ind w:right="0" w:firstLine="482"/>
        <w:jc w:val="both"/>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2.由于各期参保人数中途可能发生变动，以各期实际划拨的保费为准。</w:t>
      </w:r>
      <w:r/>
    </w:p>
    <w:p>
      <w:pPr>
        <w:ind w:right="0" w:firstLine="482"/>
        <w:jc w:val="both"/>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3.本项目以所有中标人承办服务费报价的平均值（含小数点后两位）作为最终承办服务费计提比例，最高不得超过3.2元/每服务一个参保人员·年</w:t>
      </w:r>
      <w:r>
        <w:rPr>
          <w:rFonts w:hint="eastAsia" w:ascii="仿宋" w:hAnsi="仿宋" w:eastAsia="仿宋" w:cs="仿宋"/>
          <w:b/>
          <w:bCs/>
          <w:color w:val="auto"/>
          <w:sz w:val="24"/>
          <w:szCs w:val="24"/>
          <w:highlight w:val="none"/>
          <w:lang w:val="zh-CN" w:eastAsia="zh-CN" w:bidi="ar-SA"/>
        </w:rPr>
        <w:t xml:space="preserve">。</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1"/>
          <w:highlight w:val="none"/>
          <w:lang w:val="en-US" w:eastAsia="zh-CN" w:bidi="ar-SA"/>
        </w:rPr>
        <w:t xml:space="preserve">四、服务内容与要求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（一）总体要求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中标人按《宿迁市人民政府关于建立长期护理保险制度的实施意见》(宿政规发〔2023〕6号)及相关的配套政策文件要求，在长护险经办管理机构(以下简称"医保经办机构")指导下提供宿迁市长护险经办服务，并接受医保经办机构考核管理、服务群众监督。</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（二）服务内容</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在协议服务期内，承办商保机构负责以下工作：</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1.协助医保经办机构做好长护险定点服务机构(包括医疗机构、护理机构、养老服务机构等，以下简称“定点服务机构”)相关协议管理工作；</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2.长护险政策宣传、公众号运维、咨询回复、投诉处理工作；</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3.长护险待遇申请的受理、审核、评定结果公示及送达等工作；</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4.失能等级评估申请受理，组织评估人员开展失能等级评估及争议、纠纷处理；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5.长护险待遇享受人员服务派单、待遇支付、费用结算、稽核调查；</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6.定点服务机构费用的审核、结算、待遇支付；</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7.长护险业务档案资料的整理和保存；</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8.协助做好长护险从业人员的政策业务培训工作；</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9.长护险待遇享受人员跟踪回访、稽核调查工作；</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10.长护险基金运行监测分析，按月编报长护险运行分析报告；</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11.协助做好长护险政策调整工作；</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12.医保经办机构安排的其他工作。</w:t>
      </w:r>
      <w:r/>
    </w:p>
    <w:p>
      <w:pPr>
        <w:ind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（三）项目实施方案及要求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1.总体服务方案及启动工作安排</w:t>
      </w:r>
      <w:r/>
    </w:p>
    <w:p>
      <w:pPr>
        <w:ind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制定总体服务方案及启动工作安排，包括但不限于总体服务方案、启动进度安排、保证措施和风控措施以及服务费预算计划。</w:t>
      </w:r>
      <w:r/>
    </w:p>
    <w:p>
      <w:pPr>
        <w:ind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2.制定失能评估管理方案</w:t>
      </w:r>
      <w:r/>
    </w:p>
    <w:p>
      <w:pPr>
        <w:ind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长期护理保险失能评估由长护险失能评估委员会组织开展，投标人受委托承担失能等级评估辅助服务业务。方案包括以下几方面内容：</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（1）失能评估申请的受理审核、上门评估的组织、评定结果公示及送达4个方面；</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（2）满足受理之日起10个工作日内上门评估的，20个工作日作出失能等级评估结论；</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（3）有风险管控方案；</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（4）方案对失能评估有完善的风险监督机制，申请评估人员满意度符合要求；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（5）有及时有效处理各类咨询、投诉的方案，方案科学，实际可行。</w:t>
      </w:r>
      <w:r/>
    </w:p>
    <w:p>
      <w:pPr>
        <w:ind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3.制定针对本项目的定点服务机构管理方案，包括以下几方面内容。</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需对定点护理机构的服务质量、长期护理保险费用管理、参保人员满意度等情况进行日常监督检查，并按规定结算流程，与长期护理保险失能人员及定点护理机构完成基金结算支付等方面，方案完整且可行；</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（2）包括督促定点护理机构做好护理服务协议签订、实名制管理等，在促进护理机构提升服务质量，强化费用控制方面的基础上合理、可行；</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（3）满足15个工作日与定点护理机构签订协议；</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（4）满足每季度至少完成2次对定点护理机构履行服务协议情况进行巡查，且对定点护理机构的日常检查达到100%，对违规行为进行处理的。</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4.制定长护服务质量监督与稽核巡查方案(包括对定点服务机构进行监管；负责开展异地失能人员评估、待遇支付及核查工作等)；</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（1）投标人制定巡查计划及措施，对定点护理机构的失能人员在院情况、提供护理服务、待遇结算、违规情况、待遇享受人员失能及恢复情况等进行定时巡查的，开展失能人员满意度调查的；</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（2）配置具有录音、录像、等功能的执法记录仪以及平板等具有文字处理功能的移动终端设备开展日常巡查，并满足每季度巡查定点护理机构不少于总数的50%，失能人员不少于总人数的20%；</w:t>
      </w:r>
      <w:r/>
    </w:p>
    <w:p>
      <w:pPr>
        <w:ind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（3）投标人建立有定点护理机构退出机制，对定点护理机构服务场所、服务范围、服务人员情况等发生变化的，视情况重新进行服务能力评估，对不符合长期护理保险服务管理要求的，暂停或终止服务协议。</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5.制定待遇支付及基金管理方案(包括待遇支付、基金风险管理、基金运行情况分析等 )；</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（1）根据项目的实际要求，对长期护理保险的待遇支付及基金风险管理方面提出具体的工作方案。</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（2）方案满足每月初前10个工作日完成对定点护理机构费用的审核、对账、结算和支付工作，并提供有效审核方案。</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（3）满足每月、季、半年、年度结束后的20个工作日内，报送长期护理保险运行情况统计分析材料。</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（4）有完善的基金管理内控方案的。</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6.制定宣传工作方案(包括宣传方向、宣传方式、宣传渠道、宣传频率等)；</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（1）按照政策规定及政策调整，及时做好本项目的政策和业务培训的；</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（2）投标人为本项目开通专门的咨询投诉热线电话，并对外公布；</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（3）有承担失能评估申请和护理服务相关的政策和业务咨询，并受理失能人员投诉。</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7.制定业务数据保密措施</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包括但不限于对参保人员相关信息、数据、资料承担保密责任，不得用于其他用途，并不得向第三方泄露，不得利用经办之便推销或者变相推销其他商业保险产品。</w:t>
      </w:r>
      <w:r/>
    </w:p>
    <w:p>
      <w:pPr>
        <w:ind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8.制定创新服务方案</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包括但不限于在长期护理保险创新性方面，特别是在利用互联网、大数据等先进技术对失能评估、护理服务、服务监管等方面，提供相应方案。</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9.制定培训方案</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包括但不限于培训内容、培训时间、培训地点、培训目标、培训人数、培训方法和培训师资等。</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10.制定人员配置方案</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包括但不限于针对本项目服务的管理职能部门、成立专业管理团队、建立管理制度。</w:t>
      </w:r>
      <w:r/>
    </w:p>
    <w:p>
      <w:pPr>
        <w:ind w:firstLine="480"/>
        <w:keepLines w:val="0"/>
        <w:keepNext w:val="0"/>
        <w:pageBreakBefore w:val="0"/>
        <w:spacing w:line="360" w:lineRule="auto"/>
        <w:widowControl w:val="off"/>
        <w:rPr>
          <w:rFonts w:hint="eastAsia" w:ascii="仿宋" w:hAnsi="仿宋" w:eastAsia="仿宋" w:cs="仿宋"/>
          <w:strike w:val="0"/>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w:t>
      </w:r>
      <w:r>
        <w:rPr>
          <w:rFonts w:hint="eastAsia" w:ascii="仿宋" w:hAnsi="仿宋" w:eastAsia="仿宋" w:cs="仿宋"/>
          <w:strike w:val="0"/>
          <w:color w:val="auto"/>
          <w:sz w:val="24"/>
          <w:szCs w:val="24"/>
          <w:highlight w:val="none"/>
          <w:lang w:val="en-US" w:eastAsia="zh-CN"/>
        </w:rPr>
        <w:t xml:space="preserve">11.项目组成员配备要求</w:t>
      </w:r>
      <w:r/>
    </w:p>
    <w:p>
      <w:pPr>
        <w:ind w:firstLine="480"/>
        <w:keepLines w:val="0"/>
        <w:keepNext w:val="0"/>
        <w:pageBreakBefore w:val="0"/>
        <w:spacing w:line="360" w:lineRule="auto"/>
        <w:widowControl w:val="off"/>
        <w:rPr>
          <w:rFonts w:hint="default" w:ascii="仿宋" w:hAnsi="仿宋" w:eastAsia="仿宋" w:cs="仿宋"/>
          <w:strike w:val="0"/>
          <w:color w:val="auto"/>
          <w:sz w:val="24"/>
          <w:szCs w:val="24"/>
          <w:highlight w:val="none"/>
          <w:lang w:val="en-US" w:eastAsia="zh-CN"/>
        </w:rPr>
      </w:pPr>
      <w:r>
        <w:rPr>
          <w:rFonts w:hint="eastAsia" w:ascii="仿宋" w:hAnsi="仿宋" w:eastAsia="仿宋" w:cs="仿宋"/>
          <w:strike w:val="0"/>
          <w:color w:val="auto"/>
          <w:sz w:val="24"/>
          <w:szCs w:val="24"/>
          <w:highlight w:val="none"/>
          <w:lang w:val="en-US" w:eastAsia="zh-CN"/>
        </w:rPr>
        <w:t xml:space="preserve">中标人应按承诺为本项目配备长护险经办服务全日制工作人员(工作人员与覆盖人群比不少于1:30000）,其中医学、康复、护理、信息、统计、财务等专业(具有全日制本科以上学历)的人员比例不低于40%,派驻相应数量的工作人员至医保经办机构共同办理长护险经办业务，投标人需提供承诺函（格式自拟）。</w:t>
      </w:r>
      <w:r/>
    </w:p>
    <w:p>
      <w:pPr>
        <w:ind w:firstLine="480"/>
        <w:keepLines w:val="0"/>
        <w:keepNext w:val="0"/>
        <w:pageBreakBefore w:val="0"/>
        <w:spacing w:line="360" w:lineRule="auto"/>
        <w:widowControl w:val="off"/>
        <w:rPr>
          <w:rFonts w:hint="eastAsia" w:ascii="仿宋" w:hAnsi="仿宋" w:eastAsia="仿宋" w:cs="仿宋"/>
          <w:strike w:val="0"/>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w:t>
      </w:r>
      <w:r>
        <w:rPr>
          <w:rFonts w:hint="eastAsia" w:ascii="仿宋" w:hAnsi="仿宋" w:eastAsia="仿宋" w:cs="仿宋"/>
          <w:strike w:val="0"/>
          <w:color w:val="auto"/>
          <w:sz w:val="24"/>
          <w:szCs w:val="24"/>
          <w:highlight w:val="none"/>
          <w:lang w:val="en-US" w:eastAsia="zh-CN"/>
        </w:rPr>
        <w:t xml:space="preserve">12.办公设备及交通工具配置要求</w:t>
      </w:r>
      <w:r/>
    </w:p>
    <w:p>
      <w:pPr>
        <w:ind w:firstLine="480"/>
        <w:keepLines w:val="0"/>
        <w:keepNext w:val="0"/>
        <w:pageBreakBefore w:val="0"/>
        <w:spacing w:line="360" w:lineRule="auto"/>
        <w:widowControl w:val="off"/>
        <w:rPr>
          <w:rFonts w:hint="eastAsia" w:ascii="仿宋" w:hAnsi="仿宋" w:eastAsia="仿宋" w:cs="仿宋"/>
          <w:strike w:val="0"/>
          <w:color w:val="auto"/>
          <w:sz w:val="24"/>
          <w:szCs w:val="24"/>
          <w:highlight w:val="none"/>
          <w:lang w:val="en-US" w:eastAsia="zh-CN"/>
        </w:rPr>
      </w:pPr>
      <w:r>
        <w:rPr>
          <w:rFonts w:hint="eastAsia" w:ascii="仿宋" w:hAnsi="仿宋" w:eastAsia="仿宋" w:cs="仿宋"/>
          <w:strike w:val="0"/>
          <w:color w:val="auto"/>
          <w:sz w:val="24"/>
          <w:szCs w:val="24"/>
          <w:highlight w:val="none"/>
          <w:lang w:val="en-US" w:eastAsia="zh-CN"/>
        </w:rPr>
        <w:t xml:space="preserve">中标人应为本项目提供独立的基本办公场所满足服务运营需求，应配备开展各项业务且与工作量相适应的办公设施(配备打印机、复印机、传真机、扫描仪等能够满足办公需求的办公设备，每人配备办公电脑，鉴定岗及稽核岗应按岗位要求配备便携电脑、摄像机、照相机、录音笔等记录核查设备)、核查设备及车辆，并根据长护险各项工作的需求，及时提供，投标人需提供承诺函（格式自拟）。</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13.信息系统服务要求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所有中标人统一纳入信息系统管理，按照协议要求建设长护险信息管理系统，与采购人指定的信息系统进行对接，按要求配置计算机和网络系统，配备与长护险业务相适应的计算机管理人员，实现长护险待遇申请、失能评估、护理服务、基金结算、经办管理、 服务监督、风险控制等全流程信息化。建立评估人员、上门护理人员库，将符合条件的评估人员、上门护理人员信息录入信息系统，实行动态管理，并做好长护险信息系统各类用户的培训和指导工作。系统开发建设、日常维护等费用由各中标单位按照标段占比共同承担。</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五、</w:t>
      </w:r>
      <w:r>
        <w:rPr>
          <w:rFonts w:hint="eastAsia" w:ascii="仿宋" w:hAnsi="仿宋" w:eastAsia="仿宋" w:cs="仿宋"/>
          <w:b/>
          <w:bCs/>
          <w:color w:val="auto"/>
          <w:sz w:val="24"/>
          <w:szCs w:val="24"/>
          <w:highlight w:val="none"/>
          <w:lang w:val="en-US" w:eastAsia="zh-CN"/>
        </w:rPr>
        <w:t xml:space="preserve">保障内容及要求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1.保障对象</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长护险试行期间，参保对象为宿迁市职工医保参保人员。办理职工医保参保缴费手续时，同步参加长护险。长护险制度运行期间根据宿迁市经济发展水平、基金运行情况、护理产业发展等情况，适时扩大参保范围和保障对象，调整筹资水平和待遇标准等政策。</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 保障范围及补偿比例</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参保人员因年老、疾病、伤残等原因，基本生活不能自理，经医疗机构或康复机构规范诊疗，失能状态持续6个月以上的，经申请评估符合失能等级标准的，可享受长护险待遇。失能等级评估为重度失能等级的参保人员(以下简称“失能人员”),自相关手续办结次日起可享受长护险待遇。失能人员本人或其代理人可选择通过入住定点服务机构接受护理服务、居家接受定点服务机构护理服务、居家接受定点护理机构护理服务和亲情护理相结合等方式享受长护险待遇。</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2.2失能人员接受护理服务期间，发生的符合长护险护理服务项目范围和标准的费用，由长护险基金按以下标准定额支付：</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（1）入住服务机构的医疗床位接受护理服务的，按50元/天的标准与服务机构结算；</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（2）入住服务机构的护理床位接受护理服务的，按40元/天的标准与服务机构结算；</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（3）居家接受服务机构上门提供护理服务的，每次服务时长不低于1.5小时，按30元/小时的标准与服务机构结算，月度限额为900元。上门护理服务月度总时长不足30小时的，根据实际服务时长结算；</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（4）居家接受亲情护理服务的，按20元/天的标准支付护理服务补助；</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选择居家接受上门服务机构提供护理服务和亲情护理相结合模式的，亲情护理服务补助标准为15元/天，月度限额450元，上门服务机构护理每次服务时长不低于1.5小时，按30元/小时的标准与服务机构结算，月度限额为300元。</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在市外居住的失能人员，由长护险基金按20元/天的标准支付护理服务补助。</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 服务结算支付</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失能人员在享受长护险待遇期间，发生的符合长护险护理服务项目范围和标准的护理费用，从长护险基金中支付；超出长护险护理服务项目范围和标准的护理费用，长护险基金不予支付，由失能人员个人承担，并与定点服务机构直接结算。</w:t>
      </w:r>
      <w:r/>
    </w:p>
    <w:p>
      <w:pPr>
        <w:ind w:firstLine="482"/>
        <w:keepLines w:val="0"/>
        <w:keepNext w:val="0"/>
        <w:pageBreakBefore w:val="0"/>
        <w:spacing w:line="360" w:lineRule="auto"/>
        <w:widowControl w:val="off"/>
        <w:rPr>
          <w:rFonts w:hint="eastAsia" w:ascii="仿宋" w:hAnsi="仿宋" w:eastAsia="仿宋" w:cs="仿宋"/>
          <w:bCs/>
          <w:color w:val="auto"/>
          <w:sz w:val="24"/>
          <w:szCs w:val="24"/>
          <w:highlight w:val="none"/>
          <w:lang w:val="en-US"/>
        </w:rPr>
      </w:pPr>
      <w:r>
        <w:rPr>
          <w:rFonts w:hint="eastAsia" w:ascii="仿宋" w:hAnsi="仿宋" w:eastAsia="仿宋" w:cs="仿宋"/>
          <w:b/>
          <w:bCs/>
          <w:color w:val="auto"/>
          <w:sz w:val="24"/>
          <w:szCs w:val="24"/>
          <w:highlight w:val="none"/>
          <w:lang w:val="en-US" w:eastAsia="zh-CN"/>
        </w:rPr>
        <w:t xml:space="preserve">六、经办模式</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tl w:val="0"/>
          <w:lang w:val="en-US" w:eastAsia="zh-CN"/>
        </w:rPr>
      </w:pPr>
      <w:r>
        <w:rPr>
          <w:rFonts w:hint="eastAsia" w:ascii="仿宋" w:hAnsi="仿宋" w:eastAsia="仿宋" w:cs="仿宋"/>
          <w:bCs/>
          <w:color w:val="auto"/>
          <w:sz w:val="24"/>
          <w:szCs w:val="24"/>
          <w:highlight w:val="none"/>
          <w:rtl w:val="0"/>
          <w:lang w:val="en-US" w:eastAsia="zh-CN"/>
        </w:rPr>
        <w:t xml:space="preserve">宿迁市长护险服务项目实行"运行风险共担、保险事务共办、购买承办服务、当期考核准出"的运行模式。</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tl w:val="0"/>
          <w:lang w:val="en-US" w:eastAsia="zh-CN"/>
        </w:rPr>
      </w:pPr>
      <w:r>
        <w:rPr>
          <w:rFonts w:hint="eastAsia" w:ascii="仿宋" w:hAnsi="仿宋" w:eastAsia="仿宋" w:cs="仿宋"/>
          <w:bCs/>
          <w:color w:val="auto"/>
          <w:sz w:val="24"/>
          <w:szCs w:val="24"/>
          <w:highlight w:val="none"/>
          <w:rtl w:val="0"/>
          <w:lang w:val="en-US" w:eastAsia="zh-CN"/>
        </w:rPr>
        <w:t xml:space="preserve">★1.运行风险共担(投标人须提供承诺函电子件并加盖投标人公章，格式自拟，否则作无效标处理。)</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tl w:val="0"/>
          <w:lang w:val="en-US" w:eastAsia="zh-CN"/>
        </w:rPr>
      </w:pPr>
      <w:r>
        <w:rPr>
          <w:rFonts w:hint="eastAsia" w:ascii="仿宋" w:hAnsi="仿宋" w:eastAsia="仿宋" w:cs="仿宋"/>
          <w:bCs/>
          <w:color w:val="auto"/>
          <w:sz w:val="24"/>
          <w:szCs w:val="24"/>
          <w:highlight w:val="none"/>
          <w:rtl w:val="0"/>
          <w:lang w:val="en-US" w:eastAsia="zh-CN"/>
        </w:rPr>
        <w:t xml:space="preserve">长护险委托承办商保机构参与经</w:t>
      </w:r>
      <w:r>
        <w:rPr>
          <w:rFonts w:hint="eastAsia" w:ascii="仿宋" w:hAnsi="仿宋" w:eastAsia="仿宋" w:cs="仿宋"/>
          <w:bCs/>
          <w:color w:val="auto"/>
          <w:sz w:val="24"/>
          <w:szCs w:val="24"/>
          <w:highlight w:val="none"/>
          <w:rtl w:val="0"/>
          <w:lang w:val="en-US" w:eastAsia="zh-CN"/>
        </w:rPr>
        <w:t xml:space="preserve">办，承办商保机构与长护险基金实行风险共担机制，长护险收入扣除长护险待遇支出(按“待遇支付标准”计算)、评估费用支出(初评评估费用+复评评估费用)、该统筹当期承办服务费（从当期长护险基金收入中计提，计提标准以本次招标所有中标人“承办服务费”报价平均值确定）后，如出现亏损，长护险保费收支结余如出现亏损，亏损2%(含)以内的部分由承办商保机构承担，2%以上的部分，经医疗保障行政部门综合评定后，对因政策性原因导致的亏损部分，由基金承担，对非政策性原因导致的亏损部分，由承办商保机构承担；由采购人根据实际情况最终确定。</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tl w:val="0"/>
          <w:lang w:val="en-US" w:eastAsia="zh-CN"/>
        </w:rPr>
      </w:pPr>
      <w:r>
        <w:rPr>
          <w:rFonts w:hint="eastAsia" w:ascii="仿宋" w:hAnsi="仿宋" w:eastAsia="仿宋" w:cs="仿宋"/>
          <w:bCs/>
          <w:color w:val="auto"/>
          <w:sz w:val="24"/>
          <w:szCs w:val="24"/>
          <w:highlight w:val="none"/>
          <w:rtl w:val="0"/>
          <w:lang w:val="en-US" w:eastAsia="zh-CN"/>
        </w:rPr>
        <w:t xml:space="preserve">但如有盈利，则盈利部分全额返还基金。</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tl w:val="0"/>
          <w:lang w:val="en-US" w:eastAsia="zh-CN"/>
        </w:rPr>
      </w:pPr>
      <w:r>
        <w:rPr>
          <w:rFonts w:hint="eastAsia" w:ascii="仿宋" w:hAnsi="仿宋" w:eastAsia="仿宋" w:cs="仿宋"/>
          <w:bCs/>
          <w:color w:val="auto"/>
          <w:sz w:val="24"/>
          <w:szCs w:val="24"/>
          <w:highlight w:val="none"/>
          <w:rtl w:val="0"/>
          <w:lang w:val="en-US" w:eastAsia="zh-CN"/>
        </w:rPr>
        <w:t xml:space="preserve">2.保险事务共办</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tl w:val="0"/>
          <w:lang w:val="en-US" w:eastAsia="zh-CN"/>
        </w:rPr>
      </w:pPr>
      <w:r>
        <w:rPr>
          <w:rFonts w:hint="eastAsia" w:ascii="仿宋" w:hAnsi="仿宋" w:eastAsia="仿宋" w:cs="仿宋"/>
          <w:bCs/>
          <w:color w:val="auto"/>
          <w:sz w:val="24"/>
          <w:szCs w:val="24"/>
          <w:highlight w:val="none"/>
          <w:rtl w:val="0"/>
          <w:lang w:val="en-US" w:eastAsia="zh-CN"/>
        </w:rPr>
        <w:t xml:space="preserve">长护险经办事务由医保经办机构和承办商保机构共同经办，分工负责。</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tl w:val="0"/>
          <w:lang w:val="en-US" w:eastAsia="zh-CN"/>
        </w:rPr>
      </w:pPr>
      <w:r>
        <w:rPr>
          <w:rFonts w:hint="eastAsia" w:ascii="仿宋" w:hAnsi="仿宋" w:eastAsia="仿宋" w:cs="仿宋"/>
          <w:bCs/>
          <w:color w:val="auto"/>
          <w:sz w:val="24"/>
          <w:szCs w:val="24"/>
          <w:highlight w:val="none"/>
          <w:rtl w:val="0"/>
          <w:lang w:val="en-US" w:eastAsia="zh-CN"/>
        </w:rPr>
        <w:t xml:space="preserve">医保经办机构负责各参保地长护险的经办管理事务，具体包括长护险参保登记、基金筹集、管理和使用；长护险定点护理服务机构的准入、管理和考核；在评估委员会指导下组织开展失能评估工作。开展长护险承办业务的商业保险机构的招标、协议签订和管理、监督指导和考核等工作。</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tl w:val="0"/>
          <w:lang w:val="en-US" w:eastAsia="zh-CN"/>
        </w:rPr>
      </w:pPr>
      <w:r>
        <w:rPr>
          <w:rFonts w:hint="eastAsia" w:ascii="仿宋" w:hAnsi="仿宋" w:eastAsia="仿宋" w:cs="仿宋"/>
          <w:bCs/>
          <w:color w:val="auto"/>
          <w:sz w:val="24"/>
          <w:szCs w:val="24"/>
          <w:highlight w:val="none"/>
          <w:rtl w:val="0"/>
          <w:lang w:val="en-US" w:eastAsia="zh-CN"/>
        </w:rPr>
        <w:t xml:space="preserve">商保机构承办长护险的具体事务，包括受理失能评估申请、组织评估人员开展失能评估工作；协作做好服务机构协议管理工作；长护险费用结算、待遇支付工作；负责长护险信息系统建设；负责长护险政策宣传和待遇享受人员跟踪回访工作；协助做好长护险政策调整、经办服务能力提升等调查研究工作；经办机构安排的其他工作。</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tl w:val="0"/>
          <w:lang w:val="en-US" w:eastAsia="zh-CN"/>
        </w:rPr>
      </w:pPr>
      <w:r>
        <w:rPr>
          <w:rFonts w:hint="eastAsia" w:ascii="仿宋" w:hAnsi="仿宋" w:eastAsia="仿宋" w:cs="仿宋"/>
          <w:bCs/>
          <w:color w:val="auto"/>
          <w:sz w:val="24"/>
          <w:szCs w:val="24"/>
          <w:highlight w:val="none"/>
          <w:rtl w:val="0"/>
          <w:lang w:val="en-US" w:eastAsia="zh-CN"/>
        </w:rPr>
        <w:t xml:space="preserve">3.购买承办服务</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tl w:val="0"/>
          <w:lang w:val="en-US" w:eastAsia="zh-CN"/>
        </w:rPr>
      </w:pPr>
      <w:r>
        <w:rPr>
          <w:rFonts w:hint="eastAsia" w:ascii="仿宋" w:hAnsi="仿宋" w:eastAsia="仿宋" w:cs="仿宋"/>
          <w:bCs/>
          <w:color w:val="auto"/>
          <w:sz w:val="24"/>
          <w:szCs w:val="24"/>
          <w:highlight w:val="none"/>
          <w:rtl w:val="0"/>
          <w:lang w:val="en-US" w:eastAsia="zh-CN"/>
        </w:rPr>
        <w:t xml:space="preserve">承办商保机构的当期承办服务费从当期长护险基金收入中计提，计提标准以本次招标所有中标人“承办服务费”报价平均值确定,后期综合考虑服务人口、机构运营成本、工作绩效等因素，合理调整承办服务费。承办服务费从长护险基金中支付。每季度初，医保经办机构按上季度长护险承办服务费的95%预拨给承办商保机构。次年初，根据协议履行情况、服务对象满意度情况及当期考核结果，进行当期结算。</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tl w:val="0"/>
          <w:lang w:val="en-US" w:eastAsia="zh-CN"/>
        </w:rPr>
      </w:pPr>
      <w:r>
        <w:rPr>
          <w:rFonts w:hint="eastAsia" w:ascii="仿宋" w:hAnsi="仿宋" w:eastAsia="仿宋" w:cs="仿宋"/>
          <w:bCs/>
          <w:color w:val="auto"/>
          <w:sz w:val="24"/>
          <w:szCs w:val="24"/>
          <w:highlight w:val="none"/>
          <w:rtl w:val="0"/>
          <w:lang w:val="en-US" w:eastAsia="zh-CN"/>
        </w:rPr>
        <w:t xml:space="preserve">招录的经办服务人员薪酬、保险及福利费用；办公经费；稽查稽核费用；培训费；宣传费；交通工具相关费用，以及长护险服务场所建设费用、办公装备设施费用、信息系统费用(含软件开发、硬件设备、安全等保)一次性投入均摊等列入承办服务费。 </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tl w:val="0"/>
          <w:lang w:val="en-US" w:eastAsia="zh-CN"/>
        </w:rPr>
      </w:pPr>
      <w:r>
        <w:rPr>
          <w:rFonts w:hint="eastAsia" w:ascii="仿宋" w:hAnsi="仿宋" w:eastAsia="仿宋" w:cs="仿宋"/>
          <w:bCs/>
          <w:color w:val="auto"/>
          <w:sz w:val="24"/>
          <w:szCs w:val="24"/>
          <w:highlight w:val="none"/>
          <w:rtl w:val="0"/>
          <w:lang w:val="en-US" w:eastAsia="zh-CN"/>
        </w:rPr>
        <w:t xml:space="preserve">考核退出。建立与承办质量相挂钩的考核机制，定期对承办商保机构合同履行情况、基金运行管理情况、服务质效情况等进行考核，如有承办商保机构当期考核不通过，则终止合同。</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七、考核与管理</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医保经办机构有权邀请相关专业机构和定点服务机构组成考核小组对承办商保机构相关工作进行考核评价，内容包括但不限于：合同履行情况、基金运行管理情况、服务质效情况和促进参保扩面情况等，承办商保机构须积极配合。如有承办商保机构当期考核不通过，则终止合同，中标份额均摊至考核合格的承办商保机构。</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2.建立健全长护险基金监管机制，对基金使用情况、医疗护理服务、欺诈骗保等进行监督管理。</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3.医保经办机构建立举报投诉、信息披露、基金监管、欺诈防范等监管机制。对承办商保机构政策制度执行情况及业务经办情况进行实时督查。</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承办商保机构应建立费用审核、内部控制、日常巡查、运行分析等管理制度，通过信息系统、抽查询访、满意度调查等途径，对评估结果、定点护理机构服务质量及待遇享受等情况进行跟踪管理，按月编报长护险运行分析报告报送至市财政局及医保经办机构。</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承办商保机构应发挥精准精细服务优势，以护理服务为抓手，引导群众及其家庭成员及时参保缴费，实现应保尽保。宣传动员灵活就业人员、个体工商户参加职工基本医保，进一步优化参保结构，扩大长期护理保险参保人数。</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6.承办商保机构、定点服务机构及其工作人员、参保人员等存在违法违规行为造成基金损失的，可参照医疗保障基金使用监督管理有关规定处理。构成犯罪的，移送司法机关追究刑事责任。</w:t>
      </w:r>
      <w:r/>
    </w:p>
    <w:p>
      <w:pPr>
        <w:ind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7.建立健全长护险诚信档案，根据信用评价等级分级分类监督管理，对失信行为按照国家有关规定实施惩戒。</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八、项目实施依据</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1.《国家医保局办公室民政部办公厅关于印发&lt;长期护理失能等级评估标准(试行)&gt;的通知》(医保办发〔2021〕37号)；</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2.《宿迁市人民政府关于建立长期护理保险制度的实施意见》(宿政规发〔2023〕6号)；</w:t>
      </w:r>
      <w:r/>
    </w:p>
    <w:p>
      <w:pPr>
        <w:ind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3.《关于印发&lt;宿迁市长期护理保险实施细则&gt;的通知》（宿医保规〔2023〕1号）。</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九、验收要求</w:t>
      </w:r>
      <w:r/>
    </w:p>
    <w:p>
      <w:pPr>
        <w:ind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合同履行期满，中标人向采购人提交项目验收资料以及验收申请单，采购人收到申请后3个工作日内组织验收且验收无问题后签署验收单。</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十、采购本国货物、工程和服务</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政府采购应当采购本国货物、工程和服务，但有《中华人民共和国政府采购法》第十条规定情形的除外。</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注：★部分为实质性要求，不接受负偏离。否则，作为无效标处理。</w:t>
      </w:r>
      <w:r>
        <w:rPr>
          <w:rFonts w:hint="eastAsia" w:ascii="仿宋" w:hAnsi="仿宋" w:eastAsia="仿宋" w:cs="仿宋"/>
          <w:color w:val="auto"/>
          <w:sz w:val="24"/>
          <w:szCs w:val="24"/>
          <w:highlight w:val="none"/>
          <w:lang w:val="en-US" w:eastAsia="zh-CN" w:bidi="ar-SA"/>
        </w:rPr>
        <w:t xml:space="preserve">具体事宜按照《宿迁市长期护理保险实施细则》执行。</w:t>
      </w:r>
      <w:r/>
    </w:p>
    <w:p>
      <w:pPr>
        <w:pStyle w:val="1050"/>
        <w:ind w:right="0" w:firstLine="480"/>
        <w:keepLines w:val="0"/>
        <w:keepNext w:val="0"/>
        <w:pageBreakBefore w:val="0"/>
        <w:spacing w:line="360" w:lineRule="auto"/>
        <w:widowControl w:val="off"/>
        <w:rPr>
          <w:rStyle w:val="739"/>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jc w:val="center"/>
        <w:keepLines w:val="0"/>
        <w:keepNext w:val="0"/>
        <w:pageBreakBefore w:val="0"/>
        <w:spacing w:line="480" w:lineRule="auto"/>
        <w:widowControl w:val="off"/>
        <w:rPr>
          <w:rFonts w:hint="eastAsia" w:ascii="仿宋" w:hAnsi="仿宋" w:eastAsia="仿宋" w:cs="仿宋"/>
          <w:bCs/>
          <w:color w:val="auto"/>
          <w:sz w:val="44"/>
          <w:highlight w:val="none"/>
        </w:rPr>
        <w:outlineLvl w:val="0"/>
      </w:pPr>
      <w:r>
        <w:rPr>
          <w:rFonts w:hint="eastAsia" w:ascii="仿宋" w:hAnsi="仿宋" w:eastAsia="仿宋" w:cs="仿宋"/>
          <w:bCs/>
          <w:color w:val="auto"/>
          <w:sz w:val="44"/>
          <w:highlight w:val="none"/>
        </w:rPr>
        <w:br w:type="page" w:clear="all"/>
      </w:r>
      <w:bookmarkStart w:id="199" w:name="_Toc3329"/>
      <w:r>
        <w:rPr>
          <w:rStyle w:val="765"/>
          <w:rFonts w:hint="eastAsia" w:ascii="仿宋" w:hAnsi="仿宋" w:eastAsia="仿宋" w:cs="仿宋"/>
          <w:b/>
          <w:bCs/>
          <w:color w:val="auto"/>
          <w:highlight w:val="none"/>
        </w:rPr>
        <w:t xml:space="preserve">第五章   评标方法与评标标准</w:t>
      </w:r>
      <w:bookmarkEnd w:id="199"/>
      <w:r/>
      <w:r/>
    </w:p>
    <w:p>
      <w:pPr>
        <w:ind w:firstLine="482"/>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一、资格审查。</w:t>
      </w:r>
      <w:r>
        <w:rPr>
          <w:rFonts w:hint="eastAsia" w:ascii="仿宋" w:hAnsi="仿宋" w:eastAsia="仿宋" w:cs="仿宋"/>
          <w:color w:val="auto"/>
          <w:sz w:val="24"/>
          <w:szCs w:val="24"/>
          <w:highlight w:val="none"/>
        </w:rPr>
        <w:t xml:space="preserve">资格审查人员按照下列指标对各投标人的资格进行审查，未通过审查的为无效标，不参与评标。</w:t>
      </w:r>
      <w:r/>
    </w:p>
    <w:tbl>
      <w:tblPr>
        <w:tblStyle w:val="740"/>
        <w:tblW w:w="9014"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506"/>
        <w:gridCol w:w="4508"/>
      </w:tblGrid>
      <w:tr>
        <w:trPr/>
        <w:tc>
          <w:tcPr>
            <w:tcBorders>
              <w:top w:val="single" w:color="000000" w:sz="6" w:space="0"/>
              <w:left w:val="single" w:color="000000" w:sz="6" w:space="0"/>
              <w:bottom w:val="single" w:color="000000" w:sz="6" w:space="0"/>
              <w:right w:val="single" w:color="000000" w:sz="6" w:space="0"/>
            </w:tcBorders>
            <w:tcW w:w="4506" w:type="dxa"/>
            <w:vAlign w:val="center"/>
            <w:textDirection w:val="lrTb"/>
            <w:noWrap w:val="false"/>
          </w:tcPr>
          <w:p>
            <w:pPr>
              <w:jc w:val="center"/>
              <w:keepLines w:val="0"/>
              <w:keepNext w:val="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4508" w:type="dxa"/>
            <w:vAlign w:val="center"/>
            <w:textDirection w:val="lrTb"/>
            <w:noWrap w:val="false"/>
          </w:tcPr>
          <w:p>
            <w:pPr>
              <w:jc w:val="center"/>
              <w:keepLines w:val="0"/>
              <w:keepNext w:val="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506" w:type="dxa"/>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投标声明及承诺函</w:t>
            </w:r>
            <w:r/>
          </w:p>
        </w:tc>
        <w:tc>
          <w:tcPr>
            <w:tcBorders>
              <w:top w:val="single" w:color="000000" w:sz="6" w:space="0"/>
              <w:left w:val="single" w:color="000000" w:sz="6" w:space="0"/>
              <w:bottom w:val="single" w:color="000000" w:sz="6" w:space="0"/>
              <w:right w:val="single" w:color="000000" w:sz="6" w:space="0"/>
            </w:tcBorders>
            <w:tcW w:w="4508" w:type="dxa"/>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506" w:type="dxa"/>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rPr>
              <w:t xml:space="preserve">本项目的特定资格要求</w:t>
            </w:r>
            <w:r/>
          </w:p>
        </w:tc>
        <w:tc>
          <w:tcPr>
            <w:tcBorders>
              <w:top w:val="single" w:color="000000" w:sz="6" w:space="0"/>
              <w:left w:val="single" w:color="000000" w:sz="6" w:space="0"/>
              <w:bottom w:val="single" w:color="000000" w:sz="6" w:space="0"/>
              <w:right w:val="single" w:color="000000" w:sz="6" w:space="0"/>
            </w:tcBorders>
            <w:tcW w:w="4508" w:type="dxa"/>
            <w:vAlign w:val="center"/>
            <w:textDirection w:val="lrTb"/>
            <w:noWrap w:val="false"/>
          </w:tcPr>
          <w:p>
            <w:pPr>
              <w:jc w:val="left"/>
              <w:keepLines w:val="0"/>
              <w:keepNext w:val="0"/>
              <w:pageBreakBefore w:val="0"/>
              <w:spacing w:line="560" w:lineRule="exact"/>
              <w:widowControl w:val="off"/>
              <w:tabs>
                <w:tab w:val="left" w:pos="728" w:leader="none"/>
              </w:tabs>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506" w:type="dxa"/>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4508" w:type="dxa"/>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506" w:type="dxa"/>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联合体投标</w:t>
            </w:r>
            <w:r/>
          </w:p>
        </w:tc>
        <w:tc>
          <w:tcPr>
            <w:tcBorders>
              <w:top w:val="single" w:color="000000" w:sz="6" w:space="0"/>
              <w:left w:val="single" w:color="000000" w:sz="6" w:space="0"/>
              <w:bottom w:val="single" w:color="000000" w:sz="6" w:space="0"/>
              <w:right w:val="single" w:color="000000" w:sz="6" w:space="0"/>
            </w:tcBorders>
            <w:tcW w:w="4508" w:type="dxa"/>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不接受联合体投标</w:t>
            </w:r>
            <w:r/>
          </w:p>
        </w:tc>
      </w:tr>
    </w:tbl>
    <w:p>
      <w:pPr>
        <w:ind w:firstLine="482"/>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二、符合性审查。</w:t>
      </w:r>
      <w:r>
        <w:rPr>
          <w:rFonts w:hint="eastAsia" w:ascii="仿宋" w:hAnsi="仿宋" w:eastAsia="仿宋" w:cs="仿宋"/>
          <w:color w:val="auto"/>
          <w:sz w:val="24"/>
          <w:szCs w:val="24"/>
          <w:highlight w:val="none"/>
        </w:rPr>
        <w:t xml:space="preserve">评标委员会首先按照下列指标对各投标人的投标文件进行符合性审查，未通过审查的为无效标，不再参与评审。</w:t>
      </w:r>
      <w:r/>
    </w:p>
    <w:tbl>
      <w:tblPr>
        <w:tblStyle w:val="740"/>
        <w:tblW w:w="8983"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jc w:val="center"/>
              <w:keepLines w:val="0"/>
              <w:keepNext w:val="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符合性审查因素</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jc w:val="center"/>
              <w:keepLines w:val="0"/>
              <w:keepNext w:val="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技术标准和要求</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符合招标文件要求</w:t>
            </w:r>
            <w:r/>
          </w:p>
        </w:tc>
      </w:tr>
    </w:tbl>
    <w:p>
      <w:pPr>
        <w:ind w:firstLine="482"/>
        <w:keepLines w:val="0"/>
        <w:keepNext w:val="0"/>
        <w:pageBreakBefore w:val="0"/>
        <w:spacing w:line="56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三、评分办法—综合评分法</w:t>
      </w:r>
      <w:r/>
    </w:p>
    <w:p>
      <w:pPr>
        <w:ind w:firstLine="482"/>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（一）评标办法：</w:t>
      </w:r>
      <w:r>
        <w:rPr>
          <w:rFonts w:hint="eastAsia" w:ascii="仿宋" w:hAnsi="仿宋" w:eastAsia="仿宋" w:cs="仿宋"/>
          <w:color w:val="auto"/>
          <w:sz w:val="24"/>
          <w:szCs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2"/>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评标委员会根据评审后投标人排序推荐中标候选人，并形成评标报告。投标文件满足招标文件全部实质性要求，且评审后排序第一的投标人为第一中标候选人，依次类推。</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每位投标人只能在一个分包上中标。如某投标人已在分包一被推荐为第一中标候选人的，则其参与分包二、分包三评标，但在分包二、分包三不参与推荐中标候选人的排序，以此类推，</w:t>
      </w:r>
      <w:r>
        <w:rPr>
          <w:rFonts w:hint="eastAsia" w:ascii="仿宋" w:hAnsi="仿宋" w:eastAsia="仿宋" w:cs="仿宋"/>
          <w:color w:val="auto"/>
          <w:sz w:val="24"/>
          <w:szCs w:val="24"/>
          <w:highlight w:val="none"/>
        </w:rPr>
        <w:t xml:space="preserve">若有分包无合格中标候选人，则该分包份额由分包一中标候选人承担。</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注：评审结束后，若其中一个分包受到质疑投诉等原因，导致本分包评审结果改变，但不影响其他分包的评审结果。</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综合评分保留至小数点后两位。</w:t>
      </w:r>
      <w:r/>
    </w:p>
    <w:p>
      <w:pPr>
        <w:ind w:firstLine="482"/>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（二）详细评审。</w:t>
      </w:r>
      <w:r>
        <w:rPr>
          <w:rFonts w:hint="eastAsia" w:ascii="仿宋" w:hAnsi="仿宋" w:eastAsia="仿宋" w:cs="仿宋"/>
          <w:color w:val="auto"/>
          <w:sz w:val="24"/>
          <w:szCs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740"/>
        <w:tblW w:w="9202"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342"/>
        <w:gridCol w:w="1314"/>
        <w:gridCol w:w="900"/>
        <w:gridCol w:w="5646"/>
      </w:tblGrid>
      <w:tr>
        <w:trPr>
          <w:trHeight w:val="632"/>
        </w:trPr>
        <w:tc>
          <w:tcPr>
            <w:tcBorders>
              <w:top w:val="single" w:color="auto" w:sz="6" w:space="0"/>
              <w:left w:val="single" w:color="auto" w:sz="6" w:space="0"/>
              <w:bottom w:val="single" w:color="auto" w:sz="6" w:space="0"/>
              <w:right w:val="single" w:color="auto" w:sz="6" w:space="0"/>
            </w:tcBorders>
            <w:tcW w:w="1342" w:type="dxa"/>
            <w:vAlign w:val="center"/>
            <w:textDirection w:val="lrTb"/>
            <w:noWrap w:val="false"/>
          </w:tcPr>
          <w:p>
            <w:pPr>
              <w:jc w:val="center"/>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评审因素</w:t>
            </w:r>
            <w:r/>
          </w:p>
        </w:tc>
        <w:tc>
          <w:tcPr>
            <w:tcBorders>
              <w:top w:val="single" w:color="auto" w:sz="6" w:space="0"/>
              <w:left w:val="single" w:color="auto" w:sz="6" w:space="0"/>
              <w:bottom w:val="single" w:color="auto" w:sz="6" w:space="0"/>
              <w:right w:val="single" w:color="auto" w:sz="6" w:space="0"/>
            </w:tcBorders>
            <w:tcW w:w="1314" w:type="dxa"/>
            <w:vAlign w:val="center"/>
            <w:textDirection w:val="lrTb"/>
            <w:noWrap w:val="false"/>
          </w:tcPr>
          <w:p>
            <w:pPr>
              <w:jc w:val="center"/>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分数</w:t>
            </w:r>
            <w:r/>
          </w:p>
        </w:tc>
        <w:tc>
          <w:tcPr>
            <w:gridSpan w:val="2"/>
            <w:tcBorders>
              <w:top w:val="single" w:color="auto" w:sz="6" w:space="0"/>
              <w:left w:val="single" w:color="auto" w:sz="6" w:space="0"/>
              <w:bottom w:val="single" w:color="auto" w:sz="6" w:space="0"/>
              <w:right w:val="single" w:color="auto" w:sz="6" w:space="0"/>
            </w:tcBorders>
            <w:tcW w:w="6546" w:type="dxa"/>
            <w:vAlign w:val="center"/>
            <w:textDirection w:val="lrTb"/>
            <w:noWrap w:val="false"/>
          </w:tcPr>
          <w:p>
            <w:pPr>
              <w:jc w:val="center"/>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评审标准</w:t>
            </w:r>
            <w:r/>
          </w:p>
        </w:tc>
      </w:tr>
      <w:tr>
        <w:trPr/>
        <w:tc>
          <w:tcPr>
            <w:tcBorders>
              <w:top w:val="single" w:color="auto" w:sz="6" w:space="0"/>
              <w:left w:val="single" w:color="auto" w:sz="6" w:space="0"/>
              <w:bottom w:val="single" w:color="auto" w:sz="6" w:space="0"/>
              <w:right w:val="single" w:color="auto" w:sz="6" w:space="0"/>
            </w:tcBorders>
            <w:tcW w:w="1342"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报价分</w:t>
            </w:r>
            <w:r/>
          </w:p>
        </w:tc>
        <w:tc>
          <w:tcPr>
            <w:tcBorders>
              <w:top w:val="single" w:color="auto" w:sz="6" w:space="0"/>
              <w:left w:val="single" w:color="auto" w:sz="6" w:space="0"/>
              <w:bottom w:val="single" w:color="auto" w:sz="6" w:space="0"/>
              <w:right w:val="single" w:color="auto" w:sz="6" w:space="0"/>
            </w:tcBorders>
            <w:tcW w:w="1314"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投标报价</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10.00分</w:t>
            </w:r>
            <w:r/>
          </w:p>
        </w:tc>
        <w:tc>
          <w:tcPr>
            <w:tcBorders>
              <w:top w:val="single" w:color="auto" w:sz="6" w:space="0"/>
              <w:left w:val="single" w:color="auto" w:sz="6" w:space="0"/>
              <w:bottom w:val="single" w:color="auto" w:sz="6" w:space="0"/>
              <w:right w:val="single" w:color="auto" w:sz="6" w:space="0"/>
            </w:tcBorders>
            <w:tcW w:w="5646" w:type="dxa"/>
            <w:vAlign w:val="center"/>
            <w:textDirection w:val="lrTb"/>
            <w:noWrap w:val="false"/>
          </w:tcPr>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采用低价优先法计算，即满足招标文件要求且承办服务费最低的报价为评标基准值价，其得分为10分，其他投标人承办服务费得分=（评标基准价/承办服务费报价）×10。</w:t>
            </w:r>
            <w:r/>
          </w:p>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注：符合规定的小微企业（含监狱企业和残疾人福利单位）报价给予 10%的扣除，用扣除后的价格参加评审。</w:t>
            </w:r>
            <w:r/>
          </w:p>
        </w:tc>
      </w:tr>
      <w:tr>
        <w:trPr/>
        <w:tc>
          <w:tcPr>
            <w:tcBorders>
              <w:top w:val="single" w:color="auto" w:sz="6" w:space="0"/>
              <w:left w:val="single" w:color="auto" w:sz="6" w:space="0"/>
              <w:bottom w:val="single" w:color="auto" w:sz="6" w:space="0"/>
              <w:right w:val="single" w:color="auto" w:sz="6" w:space="0"/>
            </w:tcBorders>
            <w:tcW w:w="1342" w:type="dxa"/>
            <w:vAlign w:val="center"/>
            <w:vMerge w:val="restart"/>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企业经营业绩、信誉</w:t>
            </w:r>
            <w:r/>
          </w:p>
        </w:tc>
        <w:tc>
          <w:tcPr>
            <w:tcBorders>
              <w:top w:val="single" w:color="auto" w:sz="6" w:space="0"/>
              <w:left w:val="single" w:color="auto" w:sz="6" w:space="0"/>
              <w:bottom w:val="single" w:color="auto" w:sz="6" w:space="0"/>
              <w:right w:val="single" w:color="auto" w:sz="6" w:space="0"/>
            </w:tcBorders>
            <w:tcW w:w="1314"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企业医疗保障项目业绩</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9.00分</w:t>
            </w:r>
            <w:r/>
          </w:p>
        </w:tc>
        <w:tc>
          <w:tcPr>
            <w:tcBorders>
              <w:top w:val="single" w:color="auto" w:sz="6" w:space="0"/>
              <w:left w:val="single" w:color="auto" w:sz="6" w:space="0"/>
              <w:bottom w:val="single" w:color="auto" w:sz="6" w:space="0"/>
              <w:right w:val="single" w:color="auto" w:sz="6" w:space="0"/>
            </w:tcBorders>
            <w:tcW w:w="5646" w:type="dxa"/>
            <w:vAlign w:val="center"/>
            <w:textDirection w:val="lrTb"/>
            <w:noWrap w:val="false"/>
          </w:tcPr>
          <w:p>
            <w:pPr>
              <w:jc w:val="left"/>
              <w:keepLines w:val="0"/>
              <w:keepNext w:val="0"/>
              <w:pageBreakBefore w:val="0"/>
              <w:spacing w:after="0" w:afterAutospacing="0" w:line="360" w:lineRule="auto"/>
              <w:widowControl w:val="off"/>
              <w:rPr>
                <w:rFonts w:hint="default"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投标人及投标人总公司或其下属分支机构，自2022年1月1日（以合同签订时间为准）以来，设区市政府或设区市政府行政主管部门合作医疗类保险项目（保险项目中含医疗类保障）经验，</w:t>
            </w:r>
            <w:r>
              <w:rPr>
                <w:rFonts w:hint="eastAsia" w:ascii="仿宋" w:hAnsi="仿宋" w:eastAsia="仿宋" w:cs="仿宋"/>
                <w:b/>
                <w:bCs/>
                <w:color w:val="auto"/>
                <w:sz w:val="21"/>
                <w:szCs w:val="22"/>
                <w:highlight w:val="none"/>
                <w:rtl w:val="0"/>
                <w:lang w:val="en-US" w:eastAsia="zh-CN" w:bidi="ar-SA"/>
              </w:rPr>
              <w:t xml:space="preserve">首席承保的或单独承保的，每提供一个得1.5 分；非首席承保的，每提供一个得1分；本项最高得9分。</w:t>
            </w:r>
            <w:r>
              <w:rPr>
                <w:rFonts w:hint="eastAsia" w:ascii="仿宋" w:hAnsi="仿宋" w:eastAsia="仿宋" w:cs="仿宋"/>
                <w:color w:val="auto"/>
                <w:sz w:val="21"/>
                <w:szCs w:val="22"/>
                <w:highlight w:val="none"/>
                <w:rtl w:val="0"/>
                <w:lang w:val="en-US" w:eastAsia="zh-CN" w:bidi="ar-SA"/>
              </w:rPr>
              <w:t xml:space="preserve">注：1.须提供保险项目业绩合同或合作协议及中标（成交）通知书电子件并加盖投标人公章。同一项目与同一单位或部门连续签约的，计一次合作经验（与企业、社会组织等签订协议不得分），协议中能清晰反映投保人名称、签订日期，反映不全不得分。</w:t>
            </w:r>
            <w:r/>
          </w:p>
        </w:tc>
      </w:tr>
      <w:tr>
        <w:trPr/>
        <w:tc>
          <w:tcPr>
            <w:tcBorders>
              <w:top w:val="single" w:color="auto" w:sz="6" w:space="0"/>
              <w:left w:val="single" w:color="auto" w:sz="6" w:space="0"/>
              <w:bottom w:val="single" w:color="auto" w:sz="6" w:space="0"/>
              <w:right w:val="single" w:color="auto" w:sz="6" w:space="0"/>
            </w:tcBorders>
            <w:tcW w:w="1342" w:type="dxa"/>
            <w:vAlign w:val="center"/>
            <w:vMerge w:val="continue"/>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314"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企业长护险承办业绩</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left"/>
              <w:spacing w:after="0" w:afterAutospacing="0"/>
              <w:widowControl w:val="off"/>
              <w:rPr>
                <w:rFonts w:hint="default"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9.00分</w:t>
            </w:r>
            <w:r/>
          </w:p>
        </w:tc>
        <w:tc>
          <w:tcPr>
            <w:tcBorders>
              <w:top w:val="single" w:color="auto" w:sz="6" w:space="0"/>
              <w:left w:val="single" w:color="auto" w:sz="6" w:space="0"/>
              <w:bottom w:val="single" w:color="auto" w:sz="6" w:space="0"/>
              <w:right w:val="single" w:color="auto" w:sz="6" w:space="0"/>
            </w:tcBorders>
            <w:tcW w:w="5646" w:type="dxa"/>
            <w:vAlign w:val="center"/>
            <w:textDirection w:val="lrTb"/>
            <w:noWrap w:val="false"/>
          </w:tcPr>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投标人及投标人总公司或其下属分支机构，自2022年1月1日（以合同签订时间为准）以来，承担过类似长期护理（照护）保险项目业绩的，每提供一个得3分，本项最高得9分。</w:t>
            </w:r>
            <w:r/>
          </w:p>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注：1.须提供保险项目业绩合同或合作协议及中标（成交）通知书电子件并加盖投标人公章。同一项目与同一单位或部门连续签约的，计一次合作经验（与企业、社会组织等签订协议不得分），协议中能清晰反映投保人名称、签订日期，反映不全不得分。</w:t>
            </w:r>
            <w:r/>
          </w:p>
        </w:tc>
      </w:tr>
      <w:tr>
        <w:trPr>
          <w:trHeight w:val="2437"/>
        </w:trPr>
        <w:tc>
          <w:tcPr>
            <w:tcBorders>
              <w:top w:val="single" w:color="auto" w:sz="6" w:space="0"/>
              <w:left w:val="single" w:color="auto" w:sz="6" w:space="0"/>
              <w:bottom w:val="single" w:color="auto" w:sz="6" w:space="0"/>
              <w:right w:val="single" w:color="auto" w:sz="6" w:space="0"/>
            </w:tcBorders>
            <w:tcW w:w="1342" w:type="dxa"/>
            <w:vAlign w:val="center"/>
            <w:vMerge w:val="continue"/>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314"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核心偿付能力</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10.00分</w:t>
            </w:r>
            <w:r/>
          </w:p>
        </w:tc>
        <w:tc>
          <w:tcPr>
            <w:tcBorders>
              <w:top w:val="single" w:color="auto" w:sz="6" w:space="0"/>
              <w:left w:val="single" w:color="auto" w:sz="6" w:space="0"/>
              <w:bottom w:val="single" w:color="auto" w:sz="6" w:space="0"/>
              <w:right w:val="single" w:color="auto" w:sz="6" w:space="0"/>
            </w:tcBorders>
            <w:tcW w:w="5646" w:type="dxa"/>
            <w:vAlign w:val="center"/>
            <w:textDirection w:val="lrTb"/>
            <w:noWrap w:val="false"/>
          </w:tcPr>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投标人总公司经审计的2024年末核心偿付能力充足率≥200%的，得10分；180%≤2024年末核心偿付能力充足率﹤200%的，得7分；2024年末核心偿付能力充足率﹤180%的，得4分。</w:t>
            </w:r>
            <w:r/>
          </w:p>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注：须提供投标人总公司经审计的2024年末核心偿付能力报告电子件并加盖投标人公章，否则不得分。</w:t>
            </w:r>
            <w:r/>
          </w:p>
        </w:tc>
      </w:tr>
      <w:tr>
        <w:trPr/>
        <w:tc>
          <w:tcPr>
            <w:tcBorders>
              <w:top w:val="single" w:color="auto" w:sz="6" w:space="0"/>
              <w:left w:val="single" w:color="auto" w:sz="6" w:space="0"/>
              <w:bottom w:val="single" w:color="auto" w:sz="6" w:space="0"/>
              <w:right w:val="single" w:color="auto" w:sz="6" w:space="0"/>
            </w:tcBorders>
            <w:tcW w:w="1342" w:type="dxa"/>
            <w:vAlign w:val="center"/>
            <w:vMerge w:val="continue"/>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314"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企业荣誉</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6.00分</w:t>
            </w:r>
            <w:r/>
          </w:p>
        </w:tc>
        <w:tc>
          <w:tcPr>
            <w:tcBorders>
              <w:top w:val="single" w:color="auto" w:sz="6" w:space="0"/>
              <w:left w:val="single" w:color="auto" w:sz="6" w:space="0"/>
              <w:bottom w:val="single" w:color="auto" w:sz="6" w:space="0"/>
              <w:right w:val="single" w:color="auto" w:sz="6" w:space="0"/>
            </w:tcBorders>
            <w:tcW w:w="5646" w:type="dxa"/>
            <w:vAlign w:val="center"/>
            <w:textDirection w:val="lrTb"/>
            <w:noWrap w:val="false"/>
          </w:tcPr>
          <w:p>
            <w:pPr>
              <w:jc w:val="left"/>
              <w:keepLines w:val="0"/>
              <w:keepNext w:val="0"/>
              <w:pageBreakBefore w:val="0"/>
              <w:spacing w:after="0" w:afterAutospacing="0" w:line="360" w:lineRule="auto"/>
              <w:widowControl w:val="off"/>
              <w:rPr>
                <w:rFonts w:hint="default"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投标人及投标人总公司或其下属分支机构，自2022年1月1日（以合同签订时间为准）以来，独立获得市级及以上政府单位(含市级领导小组)及其行政主管部门集体类表彰(以表彰文件表彰年度或荣誉证书表彰年度为评定依据)，能够体现保险业务能力表彰的，每有一项得1.5分，本</w:t>
            </w:r>
            <w:r>
              <w:rPr>
                <w:rFonts w:hint="eastAsia" w:ascii="仿宋" w:hAnsi="仿宋" w:eastAsia="仿宋" w:cs="仿宋"/>
                <w:color w:val="auto"/>
                <w:sz w:val="21"/>
                <w:szCs w:val="22"/>
                <w:highlight w:val="none"/>
                <w:rtl w:val="0"/>
                <w:lang w:val="en-US" w:eastAsia="zh-CN" w:bidi="ar-SA"/>
              </w:rPr>
              <w:t xml:space="preserve">项</w:t>
            </w:r>
            <w:r>
              <w:rPr>
                <w:rFonts w:hint="eastAsia" w:ascii="仿宋" w:hAnsi="仿宋" w:eastAsia="仿宋" w:cs="仿宋"/>
                <w:color w:val="auto"/>
                <w:sz w:val="21"/>
                <w:szCs w:val="22"/>
                <w:highlight w:val="none"/>
                <w:rtl w:val="0"/>
                <w:lang w:val="en-US" w:eastAsia="zh-CN" w:bidi="ar-SA"/>
              </w:rPr>
              <w:t xml:space="preserve">最高得6分。</w:t>
            </w:r>
            <w:r>
              <w:rPr>
                <w:rFonts w:hint="eastAsia" w:ascii="仿宋" w:hAnsi="仿宋" w:eastAsia="仿宋" w:cs="仿宋"/>
                <w:color w:val="auto"/>
                <w:sz w:val="21"/>
                <w:szCs w:val="22"/>
                <w:highlight w:val="none"/>
                <w:rtl w:val="0"/>
                <w:lang w:val="en-US" w:eastAsia="zh-CN" w:bidi="ar-SA"/>
              </w:rPr>
              <w:t xml:space="preserve">注：须提供以上证明材料电子件并加盖投标人公章，否则不得分。</w:t>
            </w:r>
            <w:r/>
          </w:p>
        </w:tc>
      </w:tr>
      <w:tr>
        <w:trPr/>
        <w:tc>
          <w:tcPr>
            <w:tcBorders>
              <w:top w:val="single" w:color="auto" w:sz="6" w:space="0"/>
              <w:left w:val="single" w:color="auto" w:sz="6" w:space="0"/>
              <w:bottom w:val="single" w:color="auto" w:sz="6" w:space="0"/>
              <w:right w:val="single" w:color="auto" w:sz="6" w:space="0"/>
            </w:tcBorders>
            <w:tcW w:w="1342" w:type="dxa"/>
            <w:vAlign w:val="center"/>
            <w:vMerge w:val="restart"/>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项目实施方案</w:t>
            </w:r>
            <w:r/>
          </w:p>
        </w:tc>
        <w:tc>
          <w:tcPr>
            <w:tcBorders>
              <w:top w:val="single" w:color="auto" w:sz="6" w:space="0"/>
              <w:left w:val="single" w:color="auto" w:sz="6" w:space="0"/>
              <w:bottom w:val="single" w:color="auto" w:sz="6" w:space="0"/>
              <w:right w:val="single" w:color="auto" w:sz="6" w:space="0"/>
            </w:tcBorders>
            <w:tcW w:w="1314"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总体服务方案及启动工作安排</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9.00分</w:t>
            </w:r>
            <w:r/>
          </w:p>
        </w:tc>
        <w:tc>
          <w:tcPr>
            <w:tcBorders>
              <w:top w:val="single" w:color="auto" w:sz="6" w:space="0"/>
              <w:left w:val="single" w:color="auto" w:sz="6" w:space="0"/>
              <w:bottom w:val="single" w:color="auto" w:sz="6" w:space="0"/>
              <w:right w:val="single" w:color="auto" w:sz="6" w:space="0"/>
            </w:tcBorders>
            <w:tcW w:w="5646" w:type="dxa"/>
            <w:vAlign w:val="center"/>
            <w:textDirection w:val="lrTb"/>
            <w:noWrap w:val="false"/>
          </w:tcPr>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针对采购文件“第四章 采购需求”中“四、服务内容与要求</w:t>
            </w:r>
            <w:r>
              <w:rPr>
                <w:rFonts w:hint="eastAsia" w:ascii="仿宋" w:hAnsi="仿宋" w:eastAsia="仿宋" w:cs="仿宋"/>
                <w:color w:val="auto"/>
                <w:sz w:val="21"/>
                <w:szCs w:val="22"/>
                <w:highlight w:val="none"/>
                <w:rtl w:val="0"/>
                <w:lang w:val="en-US" w:eastAsia="zh-CN" w:bidi="ar-SA"/>
              </w:rPr>
              <w:t xml:space="preserve">-（三）项目实施方案及要求-1.总体服务方案及启动工作安排”要求，提供总体服务方案及启动工作安排。总体方案完整，实施措施详尽，保证措施和风控措施针对性强、可执行性高，服务费预算计划详实且优于采购需求，得9分；总体方案较完整，实施措施较详尽，保证措施和风控措施针对性较强、可执行性较高，服务费预算计划较详实能够满足采购需求，得6分；总体方案基本完善，实施措施基本详尽，保证措施和风控措施针对性一般、可执行性一般，服务费预算计划一般，通过后期优化能实现采购需求的，得3分；没有内容或其情况不满足招标文件需求的不得分。</w:t>
            </w:r>
            <w:r/>
          </w:p>
        </w:tc>
      </w:tr>
      <w:tr>
        <w:trPr/>
        <w:tc>
          <w:tcPr>
            <w:tcBorders>
              <w:top w:val="single" w:color="auto" w:sz="6" w:space="0"/>
              <w:left w:val="single" w:color="auto" w:sz="6" w:space="0"/>
              <w:bottom w:val="single" w:color="auto" w:sz="6" w:space="0"/>
              <w:right w:val="single" w:color="auto" w:sz="6" w:space="0"/>
            </w:tcBorders>
            <w:tcW w:w="1342" w:type="dxa"/>
            <w:vAlign w:val="center"/>
            <w:vMerge w:val="continue"/>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314"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失能评估管理</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6.00分</w:t>
            </w:r>
            <w:r/>
          </w:p>
        </w:tc>
        <w:tc>
          <w:tcPr>
            <w:tcBorders>
              <w:top w:val="single" w:color="auto" w:sz="6" w:space="0"/>
              <w:left w:val="single" w:color="auto" w:sz="6" w:space="0"/>
              <w:bottom w:val="single" w:color="auto" w:sz="6" w:space="0"/>
              <w:right w:val="single" w:color="auto" w:sz="6" w:space="0"/>
            </w:tcBorders>
            <w:tcW w:w="5646" w:type="dxa"/>
            <w:vAlign w:val="center"/>
            <w:textDirection w:val="lrTb"/>
            <w:noWrap w:val="false"/>
          </w:tcPr>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针对采购文件“第四章 采购需求”中“四、服务内容与要求-（三）项目实施方案及要求-2.制定失能评估管理方案”要求，提供失能评估管理。工作方案架构详实，流程清晰，方法描述切合实际，且优于采购需求，得6分；工作方案架构较详实，流程较清晰，方法描述较切合实际，能够满足采购需求，得4分；工作方案架构基本详细，流程基本完整，方法描述一般，通过后期优化能实现采购需求的，得2分；没有内容或其情况不满足招标文件需求的不得分。</w:t>
            </w:r>
            <w:r/>
          </w:p>
        </w:tc>
      </w:tr>
      <w:tr>
        <w:trPr/>
        <w:tc>
          <w:tcPr>
            <w:tcBorders>
              <w:top w:val="single" w:color="auto" w:sz="6" w:space="0"/>
              <w:left w:val="single" w:color="auto" w:sz="6" w:space="0"/>
              <w:bottom w:val="single" w:color="auto" w:sz="6" w:space="0"/>
              <w:right w:val="single" w:color="auto" w:sz="6" w:space="0"/>
            </w:tcBorders>
            <w:tcW w:w="1342" w:type="dxa"/>
            <w:vAlign w:val="center"/>
            <w:vMerge w:val="continue"/>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314"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定点护理服务机构管理</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6.00分</w:t>
            </w:r>
            <w:r/>
          </w:p>
        </w:tc>
        <w:tc>
          <w:tcPr>
            <w:tcBorders>
              <w:top w:val="single" w:color="auto" w:sz="6" w:space="0"/>
              <w:left w:val="single" w:color="auto" w:sz="6" w:space="0"/>
              <w:bottom w:val="single" w:color="auto" w:sz="6" w:space="0"/>
              <w:right w:val="single" w:color="auto" w:sz="6" w:space="0"/>
            </w:tcBorders>
            <w:tcW w:w="5646" w:type="dxa"/>
            <w:vAlign w:val="center"/>
            <w:textDirection w:val="lrTb"/>
            <w:noWrap w:val="false"/>
          </w:tcPr>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针对采购文件“第四章 采购需求”中“四、服务内容与要求-（三）项目实施方案及要求-3.制定针对本项目的定点服务机构管理方案”要求，提供定点护理服务机构管理。管理方案细节详细、规划切合实际，针对性强、可执行性高，且优于采购需求，得6分；管理方案细节较详细、规划较切合实际，针对性较强、可执行性较高，能够满足采购需求，得4分；管理方案细节一般、规划一般，针对性一般、可执行性一般，通过后期优化能实现采购需求的，得2分；没有内容或其情况不满足招标文件需求的不得分。</w:t>
            </w:r>
            <w:r/>
          </w:p>
        </w:tc>
      </w:tr>
      <w:tr>
        <w:trPr/>
        <w:tc>
          <w:tcPr>
            <w:tcBorders>
              <w:top w:val="single" w:color="auto" w:sz="6" w:space="0"/>
              <w:left w:val="single" w:color="auto" w:sz="6" w:space="0"/>
              <w:bottom w:val="single" w:color="auto" w:sz="6" w:space="0"/>
              <w:right w:val="single" w:color="auto" w:sz="6" w:space="0"/>
            </w:tcBorders>
            <w:tcW w:w="1342" w:type="dxa"/>
            <w:vAlign w:val="center"/>
            <w:vMerge w:val="continue"/>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314"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长护服务质量监督与稽核巡查</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6.00分</w:t>
            </w:r>
            <w:r/>
          </w:p>
        </w:tc>
        <w:tc>
          <w:tcPr>
            <w:tcBorders>
              <w:top w:val="single" w:color="auto" w:sz="6" w:space="0"/>
              <w:left w:val="single" w:color="auto" w:sz="6" w:space="0"/>
              <w:bottom w:val="single" w:color="auto" w:sz="6" w:space="0"/>
              <w:right w:val="single" w:color="auto" w:sz="6" w:space="0"/>
            </w:tcBorders>
            <w:tcW w:w="5646" w:type="dxa"/>
            <w:vAlign w:val="center"/>
            <w:textDirection w:val="lrTb"/>
            <w:noWrap w:val="false"/>
          </w:tcPr>
          <w:p>
            <w:pPr>
              <w:numPr>
                <w:ilvl w:val="0"/>
                <w:numId w:val="0"/>
              </w:numPr>
              <w:ind w:left="0" w:firstLine="0"/>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针对采购文件“第四章 采购需求”中“四、服务内容与要求-（三）项目实施方案及要求-4.制定长护服务质量监督与稽核巡查方案”要求，提供长护服务质量监督与稽核巡查。监管方案设计切合实际，条理清晰，实用性强，且优于采购需求得6分；监管方案设计较切合实际，条理较清晰，实用性较强，能够满足采购需求，得4分；监管方案设计基本符合实际情况，条理基本清晰，实用性一般，通过后期优化能实现采购需求的，得2分；没有内容或其情况不满足招标文件需求的不得分。</w:t>
            </w:r>
            <w:r/>
          </w:p>
        </w:tc>
      </w:tr>
      <w:tr>
        <w:trPr/>
        <w:tc>
          <w:tcPr>
            <w:tcBorders>
              <w:top w:val="single" w:color="auto" w:sz="6" w:space="0"/>
              <w:left w:val="single" w:color="auto" w:sz="6" w:space="0"/>
              <w:bottom w:val="single" w:color="auto" w:sz="6" w:space="0"/>
              <w:right w:val="single" w:color="auto" w:sz="6" w:space="0"/>
            </w:tcBorders>
            <w:tcW w:w="1342" w:type="dxa"/>
            <w:vAlign w:val="center"/>
            <w:vMerge w:val="continue"/>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314"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待遇支付及基金管理方案</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5.00分</w:t>
            </w:r>
            <w:r/>
          </w:p>
        </w:tc>
        <w:tc>
          <w:tcPr>
            <w:tcBorders>
              <w:top w:val="single" w:color="auto" w:sz="6" w:space="0"/>
              <w:left w:val="single" w:color="auto" w:sz="6" w:space="0"/>
              <w:bottom w:val="single" w:color="auto" w:sz="6" w:space="0"/>
              <w:right w:val="single" w:color="auto" w:sz="6" w:space="0"/>
            </w:tcBorders>
            <w:tcW w:w="5646" w:type="dxa"/>
            <w:vAlign w:val="center"/>
            <w:textDirection w:val="lrTb"/>
            <w:noWrap w:val="false"/>
          </w:tcPr>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针对采购文件“第四章 采购需求”中“四、服务内容与要求-（三）项目实施方案及要求-5.制定待遇支付及基金管理方案”要求，提供待遇支付及基金管理方案。总体方案完整，实施措施详尽，针对性强、可执行性高，且优于采购需求，得5分；总体方案较完整，实施措施较详尽，针对性较强、可执行性较高，能够满足采购需求，得3分；总体方案基本完善，实施措施基本详尽，针对性一般、可执行性一般，通过后期优化能实现采购需求的得1分；没有内容或其情况不满足招标文件需求的不得分。</w:t>
            </w:r>
            <w:r/>
          </w:p>
        </w:tc>
      </w:tr>
      <w:tr>
        <w:trPr/>
        <w:tc>
          <w:tcPr>
            <w:tcBorders>
              <w:top w:val="single" w:color="auto" w:sz="6" w:space="0"/>
              <w:left w:val="single" w:color="auto" w:sz="6" w:space="0"/>
              <w:bottom w:val="single" w:color="auto" w:sz="6" w:space="0"/>
              <w:right w:val="single" w:color="auto" w:sz="6" w:space="0"/>
            </w:tcBorders>
            <w:tcW w:w="1342" w:type="dxa"/>
            <w:vAlign w:val="center"/>
            <w:vMerge w:val="continue"/>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314"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宣传方案</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5.00分</w:t>
            </w:r>
            <w:r/>
          </w:p>
        </w:tc>
        <w:tc>
          <w:tcPr>
            <w:tcBorders>
              <w:top w:val="single" w:color="auto" w:sz="6" w:space="0"/>
              <w:left w:val="single" w:color="auto" w:sz="6" w:space="0"/>
              <w:bottom w:val="single" w:color="auto" w:sz="6" w:space="0"/>
              <w:right w:val="single" w:color="auto" w:sz="6" w:space="0"/>
            </w:tcBorders>
            <w:tcW w:w="5646" w:type="dxa"/>
            <w:vAlign w:val="center"/>
            <w:textDirection w:val="lrTb"/>
            <w:noWrap w:val="false"/>
          </w:tcPr>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针对采购文件“第四章 采购需求”中“四、服务内容与要求-（三）项目实施方案及要求-6.制定宣传工作方案”要求，提供宣传方案。政策宣传方向正确，方案完整详实，标新立异，思路新颖、实用性强，且优于采购需求，得5分；政策宣传方向正确，方案较完整详实，思路普通，能够满足采购需求，得3分；政策宣传方向正确，方案一般，思路陈旧，通过后期优化能实现采购需求的，得1分；没有内容或其情况不满足招标文件需求的不得分。</w:t>
            </w:r>
            <w:r/>
          </w:p>
        </w:tc>
      </w:tr>
      <w:tr>
        <w:trPr/>
        <w:tc>
          <w:tcPr>
            <w:tcBorders>
              <w:top w:val="single" w:color="auto" w:sz="6" w:space="0"/>
              <w:left w:val="single" w:color="auto" w:sz="6" w:space="0"/>
              <w:bottom w:val="single" w:color="auto" w:sz="6" w:space="0"/>
              <w:right w:val="single" w:color="auto" w:sz="6" w:space="0"/>
            </w:tcBorders>
            <w:tcW w:w="1342" w:type="dxa"/>
            <w:vAlign w:val="center"/>
            <w:vMerge w:val="continue"/>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314"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业务数据保密措施</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5.00分</w:t>
            </w:r>
            <w:r/>
          </w:p>
        </w:tc>
        <w:tc>
          <w:tcPr>
            <w:tcBorders>
              <w:top w:val="single" w:color="auto" w:sz="6" w:space="0"/>
              <w:left w:val="single" w:color="auto" w:sz="6" w:space="0"/>
              <w:bottom w:val="single" w:color="auto" w:sz="6" w:space="0"/>
              <w:right w:val="single" w:color="auto" w:sz="6" w:space="0"/>
            </w:tcBorders>
            <w:tcW w:w="5646" w:type="dxa"/>
            <w:vAlign w:val="center"/>
            <w:textDirection w:val="lrTb"/>
            <w:noWrap w:val="false"/>
          </w:tcPr>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针对采购文件“第四章 采购需求”中“四、服务内容与要求-（三）项目实施方案及要求-7.制定业务数据保密措施”要求，提供业务数据保密措施。保密措施完整详实、切合实际、能够实现采购人保密要求的，且优于采购需求得5分；保密措施完整、较切合实际，能够满足采购需求得3分；保密措施一般，通过后期优化能实现采购需求的，得1分；没有内容或其情况不满足招标文件需求的不得分。</w:t>
            </w:r>
            <w:r/>
          </w:p>
        </w:tc>
      </w:tr>
      <w:tr>
        <w:trPr/>
        <w:tc>
          <w:tcPr>
            <w:tcBorders>
              <w:top w:val="single" w:color="auto" w:sz="6" w:space="0"/>
              <w:left w:val="single" w:color="auto" w:sz="6" w:space="0"/>
              <w:bottom w:val="single" w:color="auto" w:sz="6" w:space="0"/>
              <w:right w:val="single" w:color="auto" w:sz="6" w:space="0"/>
            </w:tcBorders>
            <w:tcW w:w="1342" w:type="dxa"/>
            <w:vAlign w:val="center"/>
            <w:vMerge w:val="continue"/>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314"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创新服务</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5.00分</w:t>
            </w:r>
            <w:r/>
          </w:p>
        </w:tc>
        <w:tc>
          <w:tcPr>
            <w:tcBorders>
              <w:top w:val="single" w:color="auto" w:sz="6" w:space="0"/>
              <w:left w:val="single" w:color="auto" w:sz="6" w:space="0"/>
              <w:bottom w:val="single" w:color="auto" w:sz="6" w:space="0"/>
              <w:right w:val="single" w:color="auto" w:sz="6" w:space="0"/>
            </w:tcBorders>
            <w:tcW w:w="5646" w:type="dxa"/>
            <w:vAlign w:val="center"/>
            <w:textDirection w:val="lrTb"/>
            <w:noWrap w:val="false"/>
          </w:tcPr>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针对采购文件“第四章 采购需求”中“四、服务内容与要求-（三）项目实施方案及要求-8.制定创新服务方案”要求，提供创新服务。方案完整详实、思路新颖，且优于采购需求的得5分；方案基本详实，思路普通，能够满足采购需求，得3分；方案内容不完善、思路陈旧，通过后期优化能实现采购需求的，得1分；没有内容或其情况不满足招标文件需求的不得分。</w:t>
            </w:r>
            <w:r/>
          </w:p>
        </w:tc>
      </w:tr>
      <w:tr>
        <w:trPr/>
        <w:tc>
          <w:tcPr>
            <w:tcBorders>
              <w:top w:val="single" w:color="auto" w:sz="6" w:space="0"/>
              <w:left w:val="single" w:color="auto" w:sz="6" w:space="0"/>
              <w:bottom w:val="single" w:color="auto" w:sz="6" w:space="0"/>
              <w:right w:val="single" w:color="auto" w:sz="6" w:space="0"/>
            </w:tcBorders>
            <w:tcW w:w="1342" w:type="dxa"/>
            <w:vAlign w:val="center"/>
            <w:vMerge w:val="continue"/>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314"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培训方案</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5.00分</w:t>
            </w:r>
            <w:r/>
          </w:p>
        </w:tc>
        <w:tc>
          <w:tcPr>
            <w:tcBorders>
              <w:top w:val="single" w:color="auto" w:sz="6" w:space="0"/>
              <w:left w:val="single" w:color="auto" w:sz="6" w:space="0"/>
              <w:bottom w:val="single" w:color="auto" w:sz="6" w:space="0"/>
              <w:right w:val="single" w:color="auto" w:sz="6" w:space="0"/>
            </w:tcBorders>
            <w:tcW w:w="5646" w:type="dxa"/>
            <w:vAlign w:val="center"/>
            <w:textDirection w:val="lrTb"/>
            <w:noWrap w:val="false"/>
          </w:tcPr>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针对采购文件“第四章 采购需求”中“四、服务内容与要求-（三）项目实施方案及要求-9.制定培训方案”要求，提供培训方案。培训方案内容详实，可执行性强、表述清晰准确，且优于采购需求，得5分；培训方案内容较详实，表述不够准确，但不影响实施，能够满足采购需求，得3分；有培训方案，但方案内容笼统，没有针对本项目细化制定，通过后期优化能满足采购需求的得1分；没有内容或其情况不满足招标文件需求的不得分。</w:t>
            </w:r>
            <w:r/>
          </w:p>
        </w:tc>
      </w:tr>
      <w:tr>
        <w:trPr/>
        <w:tc>
          <w:tcPr>
            <w:tcBorders>
              <w:top w:val="single" w:color="auto" w:sz="6" w:space="0"/>
              <w:left w:val="single" w:color="auto" w:sz="6" w:space="0"/>
              <w:bottom w:val="single" w:color="auto" w:sz="6" w:space="0"/>
              <w:right w:val="single" w:color="auto" w:sz="6" w:space="0"/>
            </w:tcBorders>
            <w:tcW w:w="1342" w:type="dxa"/>
            <w:vAlign w:val="center"/>
            <w:vMerge w:val="continue"/>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314"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人员配备</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4.00分</w:t>
            </w:r>
            <w:r/>
          </w:p>
        </w:tc>
        <w:tc>
          <w:tcPr>
            <w:tcBorders>
              <w:top w:val="single" w:color="auto" w:sz="6" w:space="0"/>
              <w:left w:val="single" w:color="auto" w:sz="6" w:space="0"/>
              <w:bottom w:val="single" w:color="auto" w:sz="6" w:space="0"/>
              <w:right w:val="single" w:color="auto" w:sz="6" w:space="0"/>
            </w:tcBorders>
            <w:tcW w:w="5646" w:type="dxa"/>
            <w:vAlign w:val="center"/>
            <w:textDirection w:val="lrTb"/>
            <w:noWrap w:val="false"/>
          </w:tcPr>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针对采购文件“第四章 采购需求”中“四、服务内容与要求-（三）项目实施方案及要求-10.制定人员配置方案”要求，提供人员配备。内容结构严谨、思路清晰、描述详细、转化落地有较强可实施性、满足且优于项目需求，得4分；表述略有偏差、但不影响实质性意思表达、基本能够满足项目需求，得2分；内容有欠缺，通过后期优化能实现采购需求的，得1分；没有内容或其情况不满足招标文件需求不得分。</w:t>
            </w:r>
            <w:r/>
          </w:p>
        </w:tc>
      </w:tr>
    </w:tbl>
    <w:p>
      <w:pPr>
        <w:ind w:firstLine="482"/>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（三）评标结果。</w:t>
      </w:r>
      <w:r>
        <w:rPr>
          <w:rFonts w:hint="eastAsia" w:ascii="仿宋" w:hAnsi="仿宋" w:eastAsia="仿宋" w:cs="仿宋"/>
          <w:color w:val="auto"/>
          <w:sz w:val="24"/>
          <w:szCs w:val="24"/>
          <w:highlight w:val="none"/>
        </w:rPr>
        <w:t xml:space="preserve">评标委员会按照本办法规定推荐中标候选人，并形成评标报告。</w:t>
      </w:r>
      <w:r/>
    </w:p>
    <w:p>
      <w:pPr>
        <w:ind w:firstLine="482"/>
        <w:keepLines w:val="0"/>
        <w:keepNext w:val="0"/>
        <w:pageBreakBefore w:val="0"/>
        <w:spacing w:line="56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（四）政府采购政策功能落实</w:t>
      </w:r>
      <w:r/>
    </w:p>
    <w:p>
      <w:pPr>
        <w:ind w:firstLine="482"/>
        <w:keepLines w:val="0"/>
        <w:keepNext w:val="0"/>
        <w:pageBreakBefore w:val="0"/>
        <w:spacing w:line="560" w:lineRule="exact"/>
        <w:widowControl w:val="off"/>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本项目落实的政府采购政策对应以下序号为</w:t>
      </w:r>
      <w:r>
        <w:rPr>
          <w:rFonts w:hint="eastAsia" w:ascii="仿宋" w:hAnsi="仿宋" w:eastAsia="仿宋" w:cs="仿宋"/>
          <w:b/>
          <w:bCs/>
          <w:color w:val="auto"/>
          <w:sz w:val="24"/>
          <w:szCs w:val="24"/>
          <w:highlight w:val="none"/>
          <w:u w:val="single"/>
        </w:rPr>
        <w:t xml:space="preserve"> 1</w:t>
      </w:r>
      <w:r>
        <w:rPr>
          <w:rFonts w:hint="eastAsia" w:ascii="仿宋" w:hAnsi="仿宋" w:eastAsia="仿宋" w:cs="仿宋"/>
          <w:b/>
          <w:bCs/>
          <w:color w:val="auto"/>
          <w:sz w:val="24"/>
          <w:szCs w:val="24"/>
          <w:highlight w:val="none"/>
          <w:u w:val="single"/>
          <w:lang w:val="en-US" w:eastAsia="zh-CN"/>
        </w:rPr>
        <w:t xml:space="preserve">、2</w:t>
      </w:r>
      <w:r>
        <w:rPr>
          <w:rFonts w:hint="eastAsia" w:ascii="仿宋" w:hAnsi="仿宋" w:eastAsia="仿宋" w:cs="仿宋"/>
          <w:b/>
          <w:bCs/>
          <w:color w:val="auto"/>
          <w:sz w:val="24"/>
          <w:szCs w:val="24"/>
          <w:highlight w:val="none"/>
          <w:u w:val="single"/>
        </w:rPr>
        <w:t xml:space="preserve">  </w:t>
      </w:r>
      <w:r/>
    </w:p>
    <w:p>
      <w:pPr>
        <w:numPr>
          <w:ilvl w:val="0"/>
          <w:numId w:val="0"/>
        </w:num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rPr>
        <w:t xml:space="preserve">采购本国货物、工程和服务</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2、中小企业政策</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本项目按以下第</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u w:val="single"/>
          <w:lang w:val="en-US" w:eastAsia="zh-CN"/>
        </w:rPr>
        <w:t xml:space="preserve">2</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rPr>
        <w:t xml:space="preserve">种政策确定本项目落实的中小企业政策：</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（1）本项目专门面向中小企业（含监狱企业、残疾人福利企业）采购。</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（2）投标人提供的服务符合下列情形的，对小微企业报价给予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10</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的扣除，用扣除后的价格参加评审。</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在服务采购项目中，服务由中小企业承接，即提供服务的人员为中小企业依照《中华人民共和国民法典》订立劳动合同的从业人员。</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含新疆生产建设兵团</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出具的属于监狱企业的证明文件（投标文件中上传加盖出具单位公章的电子件）。</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3、政府采购节能产品、环境标志产品</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（3）采购人拟采购的产品属于优先采购的节能环保品目清单范围的，按以下条件优先采购：</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采用综合评分法的项目，对提供有效节能环保证书的投标人加分。</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采用最低评标价法的项目，同等条件下优先推荐提供有效节能环保证书多的投标人为中标人。</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4、商品包装、快递包装政府采购需求标准（试行）</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5、绿色数据中心政府采购需求标准（试行）</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rPr>
          <w:rStyle w:val="765"/>
          <w:rFonts w:hint="eastAsia" w:ascii="仿宋" w:hAnsi="仿宋" w:eastAsia="仿宋" w:cs="仿宋"/>
          <w:b/>
          <w:bCs/>
          <w:color w:val="auto"/>
          <w:highlight w:val="none"/>
        </w:rPr>
      </w:pPr>
      <w:r/>
      <w:bookmarkStart w:id="200" w:name="_Toc15930"/>
      <w:r>
        <w:rPr>
          <w:rStyle w:val="765"/>
          <w:rFonts w:hint="eastAsia" w:ascii="仿宋" w:hAnsi="仿宋" w:eastAsia="仿宋" w:cs="仿宋"/>
          <w:b/>
          <w:bCs/>
          <w:color w:val="auto"/>
          <w:highlight w:val="none"/>
        </w:rPr>
        <w:br w:type="page" w:clear="all"/>
      </w:r>
      <w:r/>
    </w:p>
    <w:p>
      <w:pPr>
        <w:pStyle w:val="920"/>
        <w:keepLines w:val="0"/>
        <w:keepNext/>
        <w:pageBreakBefore w:val="0"/>
        <w:spacing w:line="480" w:lineRule="auto"/>
        <w:widowControl w:val="off"/>
        <w:rPr>
          <w:rFonts w:hint="eastAsia" w:ascii="仿宋" w:hAnsi="仿宋" w:eastAsia="仿宋" w:cs="仿宋"/>
          <w:bCs/>
          <w:color w:val="auto"/>
          <w:sz w:val="44"/>
          <w:highlight w:val="none"/>
        </w:rPr>
      </w:pPr>
      <w:r>
        <w:rPr>
          <w:rStyle w:val="765"/>
          <w:rFonts w:hint="eastAsia" w:ascii="仿宋" w:hAnsi="仿宋" w:eastAsia="仿宋" w:cs="仿宋"/>
          <w:b/>
          <w:bCs/>
          <w:color w:val="auto"/>
          <w:highlight w:val="none"/>
        </w:rPr>
        <w:t xml:space="preserve">第六章   投标</w:t>
      </w:r>
      <w:bookmarkEnd w:id="194"/>
      <w:r/>
      <w:bookmarkEnd w:id="195"/>
      <w:r/>
      <w:bookmarkEnd w:id="196"/>
      <w:r>
        <w:rPr>
          <w:rStyle w:val="765"/>
          <w:rFonts w:hint="eastAsia" w:ascii="仿宋" w:hAnsi="仿宋" w:eastAsia="仿宋" w:cs="仿宋"/>
          <w:b/>
          <w:bCs/>
          <w:color w:val="auto"/>
          <w:highlight w:val="none"/>
        </w:rPr>
        <w:t xml:space="preserve">文件格式</w:t>
      </w:r>
      <w:bookmarkEnd w:id="200"/>
      <w:r>
        <w:rPr>
          <w:rFonts w:hint="eastAsia" w:ascii="仿宋" w:hAnsi="仿宋" w:eastAsia="仿宋" w:cs="仿宋"/>
          <w:bCs/>
          <w:color w:val="auto"/>
          <w:sz w:val="44"/>
          <w:highlight w:val="none"/>
        </w:rPr>
        <w:t xml:space="preserve"> </w:t>
      </w:r>
      <w:r/>
    </w:p>
    <w:p>
      <w:pPr>
        <w:jc w:val="center"/>
        <w:rPr>
          <w:rFonts w:hint="eastAsia" w:ascii="仿宋" w:hAnsi="仿宋" w:eastAsia="仿宋" w:cs="仿宋"/>
          <w:b/>
          <w:color w:val="auto"/>
          <w:sz w:val="72"/>
          <w:highlight w:val="none"/>
        </w:rPr>
      </w:pPr>
      <w:r/>
      <w:bookmarkStart w:id="201" w:name="_Hlt26955039"/>
      <w:r/>
      <w:bookmarkEnd w:id="201"/>
      <w:r/>
      <w:bookmarkStart w:id="202" w:name="_Hlt26671244"/>
      <w:r/>
      <w:bookmarkEnd w:id="202"/>
      <w:r/>
      <w:bookmarkStart w:id="203" w:name="_Toc120614282"/>
      <w:r/>
      <w:bookmarkStart w:id="204" w:name="_Toc49090576"/>
      <w:r/>
      <w:bookmarkStart w:id="205" w:name="_Toc26554094"/>
      <w:r/>
      <w:r/>
    </w:p>
    <w:p>
      <w:pPr>
        <w:jc w:val="center"/>
        <w:rPr>
          <w:rFonts w:hint="eastAsia" w:ascii="仿宋" w:hAnsi="仿宋" w:eastAsia="仿宋" w:cs="仿宋"/>
          <w:b/>
          <w:color w:val="auto"/>
          <w:sz w:val="72"/>
          <w:highlight w:val="none"/>
        </w:rPr>
      </w:pPr>
      <w:r>
        <w:rPr>
          <w:rFonts w:hint="eastAsia" w:ascii="仿宋" w:hAnsi="仿宋" w:eastAsia="仿宋" w:cs="仿宋"/>
          <w:b/>
          <w:color w:val="auto"/>
          <w:sz w:val="72"/>
          <w:highlight w:val="none"/>
        </w:rPr>
        <w:t xml:space="preserve">投  标  文  件</w:t>
      </w:r>
      <w:r/>
    </w:p>
    <w:p>
      <w:pPr>
        <w:jc w:val="center"/>
        <w:rPr>
          <w:rFonts w:hint="eastAsia" w:ascii="仿宋" w:hAnsi="仿宋" w:eastAsia="仿宋" w:cs="仿宋"/>
          <w:b/>
          <w:color w:val="auto"/>
          <w:sz w:val="72"/>
          <w:highlight w:val="none"/>
        </w:rPr>
      </w:pPr>
      <w:r>
        <w:rPr>
          <w:rFonts w:hint="eastAsia" w:ascii="仿宋" w:hAnsi="仿宋" w:eastAsia="仿宋" w:cs="仿宋"/>
          <w:b/>
          <w:color w:val="auto"/>
          <w:sz w:val="72"/>
          <w:highlight w:val="none"/>
        </w:rPr>
      </w:r>
      <w:r/>
    </w:p>
    <w:p>
      <w:pPr>
        <w:jc w:val="center"/>
        <w:rPr>
          <w:rFonts w:hint="eastAsia" w:ascii="仿宋" w:hAnsi="仿宋" w:eastAsia="仿宋" w:cs="仿宋"/>
          <w:b/>
          <w:color w:val="auto"/>
          <w:sz w:val="72"/>
          <w:highlight w:val="none"/>
        </w:rPr>
      </w:pPr>
      <w:r>
        <w:rPr>
          <w:rFonts w:hint="eastAsia" w:ascii="仿宋" w:hAnsi="仿宋" w:eastAsia="仿宋" w:cs="仿宋"/>
          <w:b/>
          <w:color w:val="auto"/>
          <w:sz w:val="72"/>
          <w:highlight w:val="none"/>
        </w:rPr>
      </w:r>
      <w:r/>
    </w:p>
    <w:p>
      <w:pPr>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1084"/>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 目 名 称：</w:t>
      </w:r>
      <w:r>
        <w:rPr>
          <w:rFonts w:hint="eastAsia" w:ascii="仿宋" w:hAnsi="仿宋" w:eastAsia="仿宋" w:cs="仿宋"/>
          <w:b/>
          <w:color w:val="auto"/>
          <w:sz w:val="36"/>
          <w:highlight w:val="none"/>
          <w:u w:val="single"/>
        </w:rPr>
        <w:t xml:space="preserve">               </w:t>
      </w:r>
      <w:r/>
    </w:p>
    <w:p>
      <w:pPr>
        <w:ind w:firstLine="1084"/>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项 目 编 号：</w:t>
      </w:r>
      <w:r>
        <w:rPr>
          <w:rFonts w:hint="eastAsia" w:ascii="仿宋" w:hAnsi="仿宋" w:eastAsia="仿宋" w:cs="仿宋"/>
          <w:b/>
          <w:color w:val="auto"/>
          <w:sz w:val="36"/>
          <w:highlight w:val="none"/>
          <w:u w:val="single"/>
        </w:rPr>
        <w:t xml:space="preserve">               </w:t>
      </w:r>
      <w:r/>
    </w:p>
    <w:p>
      <w:pPr>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      投标人名称 ：</w:t>
      </w:r>
      <w:r>
        <w:rPr>
          <w:rFonts w:hint="eastAsia" w:ascii="仿宋" w:hAnsi="仿宋" w:eastAsia="仿宋" w:cs="仿宋"/>
          <w:b/>
          <w:color w:val="auto"/>
          <w:sz w:val="36"/>
          <w:highlight w:val="none"/>
          <w:u w:val="single"/>
        </w:rPr>
        <w:t xml:space="preserve">（加盖CA电子公章）</w:t>
      </w:r>
      <w:r/>
    </w:p>
    <w:p>
      <w:pPr>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      日      期 ：</w:t>
      </w:r>
      <w:r>
        <w:rPr>
          <w:rFonts w:hint="eastAsia" w:ascii="仿宋" w:hAnsi="仿宋" w:eastAsia="仿宋" w:cs="仿宋"/>
          <w:b/>
          <w:color w:val="auto"/>
          <w:sz w:val="36"/>
          <w:highlight w:val="none"/>
          <w:u w:val="single"/>
        </w:rPr>
        <w:t xml:space="preserve">               </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1084"/>
        <w:rPr>
          <w:rFonts w:hint="eastAsia" w:ascii="仿宋" w:hAnsi="仿宋" w:eastAsia="仿宋" w:cs="仿宋"/>
          <w:b/>
          <w:bCs/>
          <w:color w:val="auto"/>
          <w:sz w:val="32"/>
          <w:szCs w:val="32"/>
          <w:highlight w:val="none"/>
        </w:rPr>
      </w:pPr>
      <w:r>
        <w:rPr>
          <w:rFonts w:hint="eastAsia" w:ascii="仿宋" w:hAnsi="仿宋" w:eastAsia="仿宋" w:cs="仿宋"/>
          <w:b/>
          <w:color w:val="auto"/>
          <w:sz w:val="36"/>
          <w:highlight w:val="none"/>
          <w:u w:val="single"/>
        </w:rPr>
        <w:br w:type="page" w:clear="all"/>
      </w:r>
      <w:r/>
    </w:p>
    <w:p>
      <w:pPr>
        <w:jc w:val="center"/>
        <w:keepLines w:val="0"/>
        <w:keepNext w:val="0"/>
        <w:pageBreakBefore w:val="0"/>
        <w:spacing w:line="480" w:lineRule="auto"/>
        <w:widowControl w:val="off"/>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 xml:space="preserve">投标文件目录</w:t>
      </w:r>
      <w:r/>
    </w:p>
    <w:p>
      <w:pPr>
        <w:jc w:val="center"/>
        <w:spacing w:line="44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一、投标声明及承诺函</w:t>
      </w:r>
      <w:r/>
    </w:p>
    <w:p>
      <w:p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二、投标人基本情况</w:t>
      </w:r>
      <w:r/>
    </w:p>
    <w:p>
      <w:p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三、满足特定资格要求的证明文件</w:t>
      </w:r>
      <w:r/>
    </w:p>
    <w:p>
      <w:p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四、法人（负责人）授权书</w:t>
      </w:r>
      <w:r/>
    </w:p>
    <w:p>
      <w:p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五、开标一览表及分项报价表</w:t>
      </w:r>
      <w:r/>
    </w:p>
    <w:p>
      <w:p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六、中小企业声明函</w:t>
      </w:r>
      <w:r>
        <w:rPr>
          <w:rFonts w:hint="eastAsia" w:ascii="仿宋" w:hAnsi="仿宋" w:eastAsia="仿宋" w:cs="仿宋"/>
          <w:color w:val="auto"/>
          <w:sz w:val="28"/>
          <w:szCs w:val="28"/>
          <w:highlight w:val="none"/>
          <w:lang w:val="en-US" w:eastAsia="zh-CN"/>
        </w:rPr>
        <w:t xml:space="preserve">或</w:t>
      </w:r>
      <w:r>
        <w:rPr>
          <w:rFonts w:hint="eastAsia" w:ascii="仿宋" w:hAnsi="仿宋" w:eastAsia="仿宋" w:cs="仿宋"/>
          <w:color w:val="auto"/>
          <w:sz w:val="28"/>
          <w:szCs w:val="28"/>
          <w:highlight w:val="none"/>
        </w:rPr>
        <w:t xml:space="preserve">残疾人福利性单位声明函</w:t>
      </w:r>
      <w:r/>
    </w:p>
    <w:p>
      <w:p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七</w:t>
      </w:r>
      <w:r>
        <w:rPr>
          <w:rFonts w:hint="eastAsia" w:ascii="仿宋" w:hAnsi="仿宋" w:eastAsia="仿宋" w:cs="仿宋"/>
          <w:color w:val="auto"/>
          <w:sz w:val="28"/>
          <w:szCs w:val="28"/>
          <w:highlight w:val="none"/>
        </w:rPr>
        <w:t xml:space="preserve">、技术要求响应及偏离表</w:t>
      </w:r>
      <w:r/>
    </w:p>
    <w:p>
      <w:p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八</w:t>
      </w:r>
      <w:r>
        <w:rPr>
          <w:rFonts w:hint="eastAsia" w:ascii="仿宋" w:hAnsi="仿宋" w:eastAsia="仿宋" w:cs="仿宋"/>
          <w:color w:val="auto"/>
          <w:sz w:val="28"/>
          <w:szCs w:val="28"/>
          <w:highlight w:val="none"/>
        </w:rPr>
        <w:t xml:space="preserve">、项目组人员</w:t>
      </w:r>
      <w:r/>
    </w:p>
    <w:p>
      <w:pPr>
        <w:ind w:firstLine="560"/>
        <w:spacing w:line="60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九</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企业业绩</w:t>
      </w:r>
      <w:r/>
    </w:p>
    <w:p>
      <w:p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w:t>
      </w:r>
      <w:r>
        <w:rPr>
          <w:rFonts w:hint="eastAsia" w:ascii="仿宋" w:hAnsi="仿宋" w:eastAsia="仿宋" w:cs="仿宋"/>
          <w:color w:val="auto"/>
          <w:sz w:val="28"/>
          <w:szCs w:val="28"/>
          <w:highlight w:val="none"/>
        </w:rPr>
        <w:t xml:space="preserve">投标所需其他材料</w:t>
      </w:r>
      <w:r/>
    </w:p>
    <w:p>
      <w:pPr>
        <w:pStyle w:val="751"/>
        <w:rPr>
          <w:rFonts w:hint="eastAsia" w:ascii="仿宋" w:hAnsi="仿宋" w:eastAsia="仿宋" w:cs="仿宋"/>
          <w:caps w:val="0"/>
          <w:color w:val="auto"/>
          <w:highlight w:val="none"/>
          <w:lang w:val="en-US" w:eastAsia="zh-CN"/>
        </w:rPr>
      </w:pPr>
      <w:r>
        <w:rPr>
          <w:rFonts w:hint="eastAsia" w:ascii="仿宋" w:hAnsi="仿宋" w:eastAsia="仿宋" w:cs="仿宋"/>
          <w:caps w:val="0"/>
          <w:color w:val="auto"/>
          <w:highlight w:val="none"/>
          <w:lang w:val="en-US" w:eastAsia="zh-CN"/>
        </w:rPr>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025"/>
        <w:rPr>
          <w:rFonts w:hint="eastAsia" w:ascii="仿宋" w:hAnsi="仿宋" w:eastAsia="仿宋" w:cs="仿宋"/>
          <w:color w:val="auto"/>
          <w:highlight w:val="none"/>
        </w:rPr>
      </w:pPr>
      <w:r/>
      <w:bookmarkStart w:id="206" w:name="_Toc23838"/>
      <w:r/>
      <w:r/>
    </w:p>
    <w:p>
      <w:pPr>
        <w:pStyle w:val="1025"/>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25"/>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25"/>
        <w:rPr>
          <w:rFonts w:hint="eastAsia" w:ascii="仿宋" w:hAnsi="仿宋" w:eastAsia="仿宋" w:cs="仿宋"/>
          <w:color w:val="auto"/>
          <w:highlight w:val="none"/>
        </w:rPr>
      </w:pPr>
      <w:r>
        <w:rPr>
          <w:rFonts w:hint="eastAsia" w:ascii="仿宋" w:hAnsi="仿宋" w:eastAsia="仿宋" w:cs="仿宋"/>
          <w:color w:val="auto"/>
          <w:highlight w:val="none"/>
        </w:rPr>
        <w:br w:type="page" w:clear="all"/>
      </w:r>
      <w:bookmarkEnd w:id="206"/>
      <w:r/>
      <w:r/>
    </w:p>
    <w:p>
      <w:pPr>
        <w:pStyle w:val="1023"/>
        <w:jc w:val="lef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一、</w:t>
      </w:r>
      <w:bookmarkEnd w:id="203"/>
      <w:r/>
      <w:bookmarkEnd w:id="204"/>
      <w:r/>
      <w:bookmarkEnd w:id="205"/>
      <w:r/>
      <w:bookmarkStart w:id="207" w:name="_Toc120614284"/>
      <w:r>
        <w:rPr>
          <w:rFonts w:hint="eastAsia" w:ascii="仿宋" w:hAnsi="仿宋" w:eastAsia="仿宋" w:cs="仿宋"/>
          <w:b/>
          <w:color w:val="auto"/>
          <w:sz w:val="32"/>
          <w:szCs w:val="32"/>
          <w:highlight w:val="none"/>
        </w:rPr>
        <w:t xml:space="preserve">投标声明及承诺函</w:t>
      </w:r>
      <w:r/>
    </w:p>
    <w:p>
      <w:pPr>
        <w:pStyle w:val="1023"/>
        <w:jc w:val="left"/>
        <w:keepLines w:val="0"/>
        <w:keepNext w:val="0"/>
        <w:pageBreakBefore w:val="0"/>
        <w:spacing w:line="560" w:lineRule="exact"/>
        <w:widowControl w:val="off"/>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23"/>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宿迁市医疗保障局</w:t>
      </w:r>
      <w:r>
        <w:rPr>
          <w:rFonts w:hint="eastAsia" w:ascii="仿宋" w:hAnsi="仿宋" w:eastAsia="仿宋" w:cs="仿宋"/>
          <w:color w:val="auto"/>
          <w:sz w:val="24"/>
          <w:szCs w:val="24"/>
          <w:highlight w:val="none"/>
          <w:u w:val="single"/>
        </w:rPr>
        <w:t xml:space="preserve">：</w:t>
      </w:r>
      <w:r/>
    </w:p>
    <w:p>
      <w:pPr>
        <w:pStyle w:val="1023"/>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根据已收到的项目编号为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JSZC-321300-SQHS-G2025-0045</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宿迁市长期护理保险委托商保公司经办项目</w:t>
      </w:r>
      <w:r>
        <w:rPr>
          <w:rFonts w:hint="eastAsia" w:ascii="仿宋" w:hAnsi="仿宋" w:eastAsia="仿宋" w:cs="仿宋"/>
          <w:color w:val="auto"/>
          <w:sz w:val="24"/>
          <w:szCs w:val="24"/>
          <w:highlight w:val="none"/>
        </w:rPr>
        <w:t xml:space="preserve">的招标文件，我方在参加本项目招投标活动中，特做出如下承诺：</w:t>
      </w:r>
      <w:r/>
    </w:p>
    <w:p>
      <w:pPr>
        <w:pStyle w:val="1023"/>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一、我方具备《中华人民共和国政府采购法》第二十二条第一款规定的6项条件；</w:t>
      </w:r>
      <w:r/>
    </w:p>
    <w:p>
      <w:pPr>
        <w:pStyle w:val="1023"/>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23"/>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三、我方按招标文件要求提交投标文件，响应招标文件规定的投标有效期；</w:t>
      </w:r>
      <w:r/>
    </w:p>
    <w:p>
      <w:pPr>
        <w:pStyle w:val="1023"/>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023"/>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五、我方投标文件中提供的任何材料资料和技术、服务、商务等响应承诺情况都是真实的、有效的、合法的；</w:t>
      </w:r>
      <w:r/>
    </w:p>
    <w:p>
      <w:pPr>
        <w:pStyle w:val="1023"/>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六、我方若违背本声明及承诺约定，经查实，自愿接受采购人及相关主管部门相应的规定处理，并依法承担相应的法律责任。</w:t>
      </w:r>
      <w:r/>
    </w:p>
    <w:p>
      <w:pPr>
        <w:pStyle w:val="1023"/>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七、我方同意采购人、采购代理机构将本声明及承诺函上网公开。</w:t>
      </w:r>
      <w:r/>
    </w:p>
    <w:p>
      <w:pPr>
        <w:pStyle w:val="1023"/>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3"/>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3"/>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（加盖CA电子公章）</w:t>
      </w:r>
      <w:r/>
    </w:p>
    <w:p>
      <w:pPr>
        <w:pStyle w:val="1023"/>
        <w:ind w:firstLine="480"/>
        <w:keepLines w:val="0"/>
        <w:keepNext w:val="0"/>
        <w:pageBreakBefore w:val="0"/>
        <w:spacing w:line="560" w:lineRule="exact"/>
        <w:widowControl w:val="off"/>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日期：    年    月   日</w:t>
      </w:r>
      <w:r/>
    </w:p>
    <w:p>
      <w:pPr>
        <w:pStyle w:val="1025"/>
        <w:jc w:val="left"/>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rPr>
          <w:rFonts w:hint="eastAsia" w:ascii="仿宋" w:hAnsi="仿宋" w:eastAsia="仿宋" w:cs="仿宋"/>
          <w:b/>
          <w:color w:val="auto"/>
          <w:sz w:val="32"/>
          <w:szCs w:val="32"/>
          <w:highlight w:val="none"/>
        </w:rPr>
        <w:t xml:space="preserve">二、投标人基本情况</w:t>
      </w:r>
      <w:r/>
    </w:p>
    <w:p>
      <w:pPr>
        <w:pStyle w:val="1026"/>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t xml:space="preserve">投标人基本情况表</w:t>
      </w:r>
      <w:r/>
    </w:p>
    <w:tbl>
      <w:tblPr>
        <w:tblStyle w:val="740"/>
        <w:tblW w:w="85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26"/>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w:t>
            </w:r>
            <w:r/>
          </w:p>
        </w:tc>
        <w:tc>
          <w:tcPr>
            <w:gridSpan w:val="3"/>
            <w:tcW w:w="6998" w:type="dxa"/>
            <w:vAlign w:val="center"/>
            <w:textDirection w:val="lrTb"/>
            <w:noWrap w:val="false"/>
          </w:tcPr>
          <w:p>
            <w:pPr>
              <w:pStyle w:val="1026"/>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1026"/>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w:t>
            </w:r>
            <w:r/>
          </w:p>
        </w:tc>
        <w:tc>
          <w:tcPr>
            <w:tcW w:w="3118" w:type="dxa"/>
            <w:vAlign w:val="center"/>
            <w:textDirection w:val="lrTb"/>
            <w:noWrap w:val="false"/>
          </w:tcPr>
          <w:p>
            <w:pPr>
              <w:pStyle w:val="1026"/>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1026"/>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注册地区</w:t>
            </w:r>
            <w:r/>
          </w:p>
        </w:tc>
        <w:tc>
          <w:tcPr>
            <w:tcW w:w="2604" w:type="dxa"/>
            <w:vAlign w:val="center"/>
            <w:textDirection w:val="lrTb"/>
            <w:noWrap w:val="false"/>
          </w:tcPr>
          <w:p>
            <w:pPr>
              <w:pStyle w:val="1026"/>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1026"/>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通讯地址</w:t>
            </w:r>
            <w:r/>
          </w:p>
        </w:tc>
        <w:tc>
          <w:tcPr>
            <w:tcW w:w="3118" w:type="dxa"/>
            <w:vAlign w:val="center"/>
            <w:textDirection w:val="lrTb"/>
            <w:noWrap w:val="false"/>
          </w:tcPr>
          <w:p>
            <w:pPr>
              <w:pStyle w:val="1026"/>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1026"/>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2604" w:type="dxa"/>
            <w:vAlign w:val="center"/>
            <w:textDirection w:val="lrTb"/>
            <w:noWrap w:val="false"/>
          </w:tcPr>
          <w:p>
            <w:pPr>
              <w:pStyle w:val="1026"/>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1026"/>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成立时间</w:t>
            </w:r>
            <w:r/>
          </w:p>
        </w:tc>
        <w:tc>
          <w:tcPr>
            <w:tcW w:w="3118" w:type="dxa"/>
            <w:vAlign w:val="center"/>
            <w:textDirection w:val="lrTb"/>
            <w:noWrap w:val="false"/>
          </w:tcPr>
          <w:p>
            <w:pPr>
              <w:pStyle w:val="1026"/>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1026"/>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单位性质</w:t>
            </w:r>
            <w:r/>
          </w:p>
        </w:tc>
        <w:tc>
          <w:tcPr>
            <w:tcW w:w="2604" w:type="dxa"/>
            <w:vAlign w:val="center"/>
            <w:textDirection w:val="lrTb"/>
            <w:noWrap w:val="false"/>
          </w:tcPr>
          <w:p>
            <w:pPr>
              <w:pStyle w:val="1026"/>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1026"/>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注册号或社会信用代码</w:t>
            </w:r>
            <w:r/>
          </w:p>
        </w:tc>
        <w:tc>
          <w:tcPr>
            <w:tcW w:w="3118" w:type="dxa"/>
            <w:vAlign w:val="center"/>
            <w:textDirection w:val="lrTb"/>
            <w:noWrap w:val="false"/>
          </w:tcPr>
          <w:p>
            <w:pPr>
              <w:pStyle w:val="1026"/>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1026"/>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法人单位注册资本（万元）</w:t>
            </w:r>
            <w:r/>
          </w:p>
        </w:tc>
        <w:tc>
          <w:tcPr>
            <w:tcW w:w="2604" w:type="dxa"/>
            <w:vAlign w:val="center"/>
            <w:textDirection w:val="lrTb"/>
            <w:noWrap w:val="false"/>
          </w:tcPr>
          <w:p>
            <w:pPr>
              <w:pStyle w:val="1026"/>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1026"/>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3118" w:type="dxa"/>
            <w:vAlign w:val="center"/>
            <w:textDirection w:val="lrTb"/>
            <w:noWrap w:val="false"/>
          </w:tcPr>
          <w:p>
            <w:pPr>
              <w:pStyle w:val="1026"/>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1026"/>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w:t>
            </w:r>
            <w:r/>
          </w:p>
        </w:tc>
        <w:tc>
          <w:tcPr>
            <w:tcW w:w="2604" w:type="dxa"/>
            <w:vAlign w:val="center"/>
            <w:textDirection w:val="lrTb"/>
            <w:noWrap w:val="false"/>
          </w:tcPr>
          <w:p>
            <w:pPr>
              <w:pStyle w:val="1026"/>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1026"/>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tcW w:w="3118" w:type="dxa"/>
            <w:vAlign w:val="center"/>
            <w:textDirection w:val="lrTb"/>
            <w:noWrap w:val="false"/>
          </w:tcPr>
          <w:p>
            <w:pPr>
              <w:pStyle w:val="1026"/>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1026"/>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2604" w:type="dxa"/>
            <w:vAlign w:val="center"/>
            <w:textDirection w:val="lrTb"/>
            <w:noWrap w:val="false"/>
          </w:tcPr>
          <w:p>
            <w:pPr>
              <w:pStyle w:val="1026"/>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2376"/>
        </w:trPr>
        <w:tc>
          <w:tcPr>
            <w:tcW w:w="1526" w:type="dxa"/>
            <w:vAlign w:val="center"/>
            <w:textDirection w:val="lrTb"/>
            <w:noWrap w:val="false"/>
          </w:tcPr>
          <w:p>
            <w:pPr>
              <w:pStyle w:val="1026"/>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3"/>
            <w:tcW w:w="6998" w:type="dxa"/>
            <w:vAlign w:val="top"/>
            <w:textDirection w:val="lrTb"/>
            <w:noWrap w:val="false"/>
          </w:tcPr>
          <w:p>
            <w:pPr>
              <w:pStyle w:val="1026"/>
              <w:ind w:firstLine="1432"/>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left"/>
        <w:rPr>
          <w:rFonts w:hint="eastAsia" w:ascii="仿宋" w:hAnsi="仿宋" w:eastAsia="仿宋" w:cs="仿宋"/>
          <w:b/>
          <w:color w:val="auto"/>
          <w:sz w:val="32"/>
          <w:szCs w:val="32"/>
          <w:highlight w:val="none"/>
        </w:rPr>
        <w:sectPr>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仿宋" w:hAnsi="仿宋" w:eastAsia="仿宋" w:cs="仿宋"/>
          <w:b/>
          <w:color w:val="auto"/>
          <w:sz w:val="32"/>
          <w:szCs w:val="32"/>
          <w:highlight w:val="none"/>
        </w:rPr>
      </w:r>
      <w:r/>
    </w:p>
    <w:p>
      <w:pPr>
        <w:jc w:val="left"/>
        <w:rPr>
          <w:rFonts w:hint="eastAsia" w:ascii="仿宋" w:hAnsi="仿宋" w:eastAsia="仿宋" w:cs="仿宋"/>
          <w:i/>
          <w:color w:val="auto"/>
          <w:sz w:val="32"/>
          <w:szCs w:val="32"/>
          <w:highlight w:val="none"/>
          <w:u w:val="single"/>
        </w:rPr>
      </w:pPr>
      <w:r>
        <w:rPr>
          <w:rFonts w:hint="eastAsia" w:ascii="仿宋" w:hAnsi="仿宋" w:eastAsia="仿宋" w:cs="仿宋"/>
          <w:b/>
          <w:color w:val="auto"/>
          <w:sz w:val="32"/>
          <w:szCs w:val="32"/>
          <w:highlight w:val="none"/>
        </w:rPr>
        <w:t xml:space="preserve">三、满足特定资格要求的证明文件</w:t>
      </w:r>
      <w:r/>
    </w:p>
    <w:p>
      <w:pPr>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480"/>
        <w:keepLines w:val="0"/>
        <w:keepNext w:val="0"/>
        <w:pageBreakBefore w:val="0"/>
        <w:spacing w:line="560" w:lineRule="exact"/>
        <w:widowControl w:val="off"/>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如果本项目申请人的特定资格要求中要求提供的，必须提供。</w:t>
      </w:r>
      <w:r/>
    </w:p>
    <w:p>
      <w:pPr>
        <w:spacing w:line="4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jc w:val="lef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四、法人（负责人）授权书</w:t>
      </w:r>
      <w:r/>
    </w:p>
    <w:p>
      <w:pPr>
        <w:pStyle w:val="995"/>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95"/>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95"/>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本授权书声明：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（投标人名称）授权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（被授权人的姓名）为我方就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号项目采购活动的合法代理人，以本单位名义全权处理一切与该项目采购有关的事务。</w:t>
      </w:r>
      <w:r/>
    </w:p>
    <w:p>
      <w:pPr>
        <w:pStyle w:val="995"/>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日起生效，特此声明。</w:t>
      </w:r>
      <w:r/>
    </w:p>
    <w:p>
      <w:pPr>
        <w:pStyle w:val="995"/>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法定代表人/负责人（签字或盖章）：</w:t>
      </w:r>
      <w:r>
        <w:rPr>
          <w:rFonts w:hint="eastAsia" w:ascii="仿宋" w:hAnsi="仿宋" w:eastAsia="仿宋" w:cs="仿宋"/>
          <w:color w:val="auto"/>
          <w:sz w:val="24"/>
          <w:szCs w:val="24"/>
          <w:highlight w:val="none"/>
          <w:u w:val="single"/>
        </w:rPr>
        <w:t xml:space="preserve">              </w:t>
      </w:r>
      <w:r/>
    </w:p>
    <w:p>
      <w:pPr>
        <w:pStyle w:val="995"/>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法定代表人/负责人身份证号码：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pStyle w:val="995"/>
        <w:ind w:firstLine="480"/>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被授权人身份证号码：</w:t>
      </w:r>
      <w:r>
        <w:rPr>
          <w:rFonts w:hint="eastAsia" w:ascii="仿宋" w:hAnsi="仿宋" w:eastAsia="仿宋" w:cs="仿宋"/>
          <w:color w:val="auto"/>
          <w:sz w:val="24"/>
          <w:szCs w:val="24"/>
          <w:highlight w:val="none"/>
          <w:u w:val="single"/>
        </w:rPr>
        <w:t xml:space="preserve">                           </w:t>
      </w:r>
      <w:r/>
    </w:p>
    <w:p>
      <w:pPr>
        <w:pStyle w:val="995"/>
        <w:ind w:firstLine="480"/>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授权人联系电话：（手机）</w:t>
      </w:r>
      <w:r>
        <w:rPr>
          <w:rFonts w:hint="eastAsia" w:ascii="仿宋" w:hAnsi="仿宋" w:eastAsia="仿宋" w:cs="仿宋"/>
          <w:color w:val="auto"/>
          <w:sz w:val="24"/>
          <w:szCs w:val="24"/>
          <w:highlight w:val="none"/>
          <w:u w:val="single"/>
        </w:rPr>
        <w:t xml:space="preserve">                       </w:t>
      </w:r>
      <w:r/>
    </w:p>
    <w:p>
      <w:pPr>
        <w:pStyle w:val="995"/>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授权单位名称：</w:t>
      </w:r>
      <w:r>
        <w:rPr>
          <w:rFonts w:hint="eastAsia" w:ascii="仿宋" w:hAnsi="仿宋" w:eastAsia="仿宋" w:cs="仿宋"/>
          <w:color w:val="auto"/>
          <w:sz w:val="24"/>
          <w:szCs w:val="24"/>
          <w:highlight w:val="none"/>
          <w:u w:val="single"/>
        </w:rPr>
        <w:t xml:space="preserve">（加盖CA电子公章）</w:t>
      </w:r>
      <w:r/>
    </w:p>
    <w:p>
      <w:pPr>
        <w:pStyle w:val="995"/>
        <w:ind w:firstLine="480"/>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单位地址：</w:t>
      </w:r>
      <w:r>
        <w:rPr>
          <w:rFonts w:hint="eastAsia" w:ascii="仿宋" w:hAnsi="仿宋" w:eastAsia="仿宋" w:cs="仿宋"/>
          <w:color w:val="auto"/>
          <w:sz w:val="24"/>
          <w:szCs w:val="24"/>
          <w:highlight w:val="none"/>
          <w:u w:val="single"/>
        </w:rPr>
        <w:t xml:space="preserve">                                     </w:t>
      </w:r>
      <w:r/>
    </w:p>
    <w:p>
      <w:pPr>
        <w:pStyle w:val="995"/>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bookmarkStart w:id="208" w:name="_Hlt26671380"/>
      <w:r/>
      <w:bookmarkEnd w:id="208"/>
      <w:r/>
      <w:bookmarkStart w:id="209" w:name="_Hlt26955070"/>
      <w:r/>
      <w:bookmarkEnd w:id="209"/>
      <w:r/>
      <w:bookmarkStart w:id="210" w:name="_格式3__银行出具的资信证明"/>
      <w:r/>
      <w:bookmarkEnd w:id="210"/>
      <w:r>
        <w:rPr>
          <w:rFonts w:hint="eastAsia" w:ascii="仿宋" w:hAnsi="仿宋" w:eastAsia="仿宋" w:cs="仿宋"/>
          <w:color w:val="auto"/>
          <w:sz w:val="24"/>
          <w:szCs w:val="24"/>
          <w:highlight w:val="none"/>
          <w:u w:val="single"/>
        </w:rPr>
        <w:t xml:space="preserve">                                         </w:t>
      </w:r>
      <w:r/>
    </w:p>
    <w:p>
      <w:pPr>
        <w:pStyle w:val="925"/>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（授权委托书电子件可由授权代理人签字后扫描上传或直接加盖电子签章，并</w:t>
      </w:r>
      <w:r/>
    </w:p>
    <w:p>
      <w:pPr>
        <w:pStyle w:val="925"/>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加盖单位及法定代表人电子签章。）</w:t>
      </w:r>
      <w:r/>
    </w:p>
    <w:p>
      <w:pPr>
        <w:pStyle w:val="925"/>
        <w:ind w:firstLine="420"/>
        <w:keepLines w:val="0"/>
        <w:keepNext w:val="0"/>
        <w:pageBreakBefore w:val="0"/>
        <w:spacing w:line="56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spacing w:line="4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jc w:val="left"/>
        <w:rPr>
          <w:rFonts w:hint="eastAsia" w:ascii="仿宋" w:hAnsi="仿宋" w:eastAsia="仿宋" w:cs="仿宋"/>
          <w:color w:val="auto"/>
          <w:sz w:val="24"/>
          <w:szCs w:val="20"/>
          <w:highlight w:val="none"/>
          <w:lang w:val="en-US" w:eastAsia="zh-CN"/>
        </w:rPr>
      </w:pPr>
      <w:r>
        <w:rPr>
          <w:rFonts w:hint="eastAsia" w:ascii="仿宋" w:hAnsi="仿宋" w:eastAsia="仿宋" w:cs="仿宋"/>
          <w:bCs/>
          <w:color w:val="auto"/>
          <w:sz w:val="24"/>
          <w:highlight w:val="none"/>
        </w:rPr>
        <w:br w:type="page" w:clear="all"/>
      </w:r>
      <w:r>
        <w:rPr>
          <w:rFonts w:hint="eastAsia" w:ascii="仿宋" w:hAnsi="仿宋" w:eastAsia="仿宋" w:cs="仿宋"/>
          <w:b/>
          <w:color w:val="auto"/>
          <w:sz w:val="32"/>
          <w:szCs w:val="32"/>
          <w:highlight w:val="none"/>
        </w:rPr>
        <w:t xml:space="preserve">五、开标一览表</w:t>
      </w:r>
      <w:r>
        <w:rPr>
          <w:rFonts w:hint="eastAsia" w:ascii="仿宋" w:hAnsi="仿宋" w:eastAsia="仿宋" w:cs="仿宋"/>
          <w:b/>
          <w:color w:val="auto"/>
          <w:sz w:val="32"/>
          <w:szCs w:val="32"/>
          <w:highlight w:val="none"/>
          <w:lang w:val="en-US" w:eastAsia="zh-CN"/>
        </w:rPr>
        <w:t xml:space="preserve">及分项报价表</w:t>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643"/>
        <w:jc w:val="center"/>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32"/>
          <w:szCs w:val="32"/>
          <w:highlight w:val="none"/>
        </w:rPr>
        <w:t xml:space="preserve">开标一览表</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投标人全称（加盖CA电子签章）：</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宿迁市长期护理保险委托商保公司经办项目</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招标编号：</w:t>
      </w:r>
      <w:r>
        <w:rPr>
          <w:rFonts w:hint="eastAsia" w:ascii="仿宋" w:hAnsi="仿宋" w:eastAsia="仿宋" w:cs="仿宋"/>
          <w:color w:val="auto"/>
          <w:sz w:val="24"/>
          <w:szCs w:val="24"/>
          <w:highlight w:val="none"/>
          <w:lang w:eastAsia="zh-CN"/>
        </w:rPr>
        <w:t xml:space="preserve">JSZC-321300-SQHS-G2025-0045</w:t>
      </w:r>
      <w:r>
        <w:rPr>
          <w:rFonts w:hint="eastAsia" w:ascii="仿宋" w:hAnsi="仿宋" w:eastAsia="仿宋" w:cs="仿宋"/>
          <w:color w:val="auto"/>
          <w:sz w:val="24"/>
          <w:szCs w:val="24"/>
          <w:highlight w:val="none"/>
        </w:rPr>
        <w:t xml:space="preserve">                分包号：</w:t>
      </w:r>
      <w:r/>
    </w:p>
    <w:tbl>
      <w:tblPr>
        <w:tblStyle w:val="740"/>
        <w:tblW w:w="82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jc w:val="center"/>
              <w:keepLines w:val="0"/>
              <w:keepNext w:val="0"/>
              <w:pageBreakBefore w:val="0"/>
              <w:spacing w:line="56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投标报价</w:t>
            </w:r>
            <w:r/>
          </w:p>
        </w:tc>
      </w:tr>
      <w:tr>
        <w:trPr>
          <w:cantSplit/>
          <w:trHeight w:val="612"/>
        </w:trPr>
        <w:tc>
          <w:tcPr>
            <w:tcW w:w="8206" w:type="dxa"/>
            <w:vAlign w:val="center"/>
            <w:textDirection w:val="lrTb"/>
            <w:noWrap w:val="false"/>
          </w:tcPr>
          <w:p>
            <w:pPr>
              <w:pStyle w:val="997"/>
              <w:ind w:firstLine="0"/>
              <w:jc w:val="center"/>
              <w:keepLines w:val="0"/>
              <w:keepNext w:val="0"/>
              <w:pageBreakBefore w:val="0"/>
              <w:spacing w:before="0" w:after="0" w:line="560" w:lineRule="exact"/>
              <w:widowControl w:val="off"/>
              <w:rPr>
                <w:rFonts w:hint="eastAsia" w:ascii="仿宋" w:hAnsi="仿宋" w:eastAsia="仿宋" w:cs="仿宋"/>
                <w:color w:val="auto"/>
                <w:szCs w:val="21"/>
                <w:highlight w:val="none"/>
              </w:rPr>
            </w:pPr>
            <w:r>
              <w:rPr>
                <w:rFonts w:hint="eastAsia" w:ascii="仿宋" w:hAnsi="仿宋" w:eastAsia="仿宋" w:cs="仿宋"/>
                <w:color w:val="auto"/>
                <w:sz w:val="24"/>
                <w:szCs w:val="24"/>
                <w:highlight w:val="none"/>
                <w:lang w:val="en-US" w:eastAsia="zh-CN"/>
              </w:rPr>
              <w:t xml:space="preserve">元/每服务一个参保人员·年</w:t>
            </w:r>
            <w:r/>
          </w:p>
        </w:tc>
      </w:tr>
    </w:tbl>
    <w:p>
      <w:pPr>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日期：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w:t>
      </w:r>
      <w:r>
        <w:rPr>
          <w:rFonts w:hint="eastAsia" w:ascii="仿宋" w:hAnsi="仿宋" w:eastAsia="仿宋" w:cs="仿宋"/>
          <w:color w:val="auto"/>
          <w:sz w:val="24"/>
          <w:szCs w:val="24"/>
          <w:highlight w:val="none"/>
          <w:lang w:val="en-US" w:eastAsia="zh-CN"/>
        </w:rPr>
        <w:t xml:space="preserve">因苏采云系统原因，</w:t>
      </w:r>
      <w:r>
        <w:rPr>
          <w:rFonts w:hint="eastAsia" w:ascii="仿宋" w:hAnsi="仿宋" w:eastAsia="仿宋" w:cs="仿宋"/>
          <w:color w:val="auto"/>
          <w:sz w:val="24"/>
          <w:szCs w:val="24"/>
          <w:highlight w:val="none"/>
          <w:lang w:val="en-US" w:eastAsia="zh-CN"/>
        </w:rPr>
        <w:t xml:space="preserve">“开标一览表”中的“投标报价”请按照“承办服务费”的报价填写报价；如有疑问，可电话咨询，联系电话：0527-88818669/19905245686。</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本项目以所有中标人承办服务费报价的平均值（含小数点后两位）作为最终承办服务费计提比例。</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b/>
          <w:color w:val="auto"/>
          <w:sz w:val="32"/>
          <w:szCs w:val="32"/>
          <w:highlight w:val="none"/>
        </w:rPr>
        <w:sectPr>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仿宋" w:hAnsi="仿宋" w:eastAsia="仿宋" w:cs="仿宋"/>
          <w:b/>
          <w:color w:val="auto"/>
          <w:sz w:val="32"/>
          <w:szCs w:val="32"/>
          <w:highlight w:val="none"/>
        </w:rPr>
      </w:r>
      <w:r/>
    </w:p>
    <w:p>
      <w:pPr>
        <w:jc w:val="center"/>
        <w:keepLines w:val="0"/>
        <w:keepNext w:val="0"/>
        <w:pageBreakBefore w:val="0"/>
        <w:spacing w:line="560" w:lineRule="exact"/>
        <w:widowControl w:val="off"/>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分项报价表（分包号：</w:t>
      </w:r>
      <w:r>
        <w:rPr>
          <w:rFonts w:hint="eastAsia" w:ascii="仿宋" w:hAnsi="仿宋" w:eastAsia="仿宋" w:cs="仿宋"/>
          <w:b/>
          <w:color w:val="auto"/>
          <w:sz w:val="32"/>
          <w:szCs w:val="32"/>
          <w:highlight w:val="none"/>
          <w:lang w:eastAsia="zh-CN"/>
        </w:rPr>
        <w:t xml:space="preserve">JSZC-321300-SQHS-G2025-0045</w:t>
      </w:r>
      <w:r>
        <w:rPr>
          <w:rFonts w:hint="eastAsia" w:ascii="仿宋" w:hAnsi="仿宋" w:eastAsia="仿宋" w:cs="仿宋"/>
          <w:b/>
          <w:color w:val="auto"/>
          <w:sz w:val="32"/>
          <w:szCs w:val="32"/>
          <w:highlight w:val="none"/>
        </w:rPr>
        <w:t xml:space="preserve">）（服务类）</w:t>
      </w:r>
      <w:r/>
    </w:p>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740"/>
        <w:tblpPr w:horzAnchor="text" w:tblpXSpec="center" w:vertAnchor="text" w:tblpY="1" w:leftFromText="180" w:topFromText="0" w:rightFromText="180" w:bottomFromText="0"/>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1232"/>
        <w:gridCol w:w="3339"/>
        <w:gridCol w:w="1097"/>
        <w:gridCol w:w="1256"/>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066"/>
              <w:jc w:val="center"/>
              <w:spacing w:line="360" w:lineRule="exact"/>
              <w:widowControl/>
              <w:rPr>
                <w:rStyle w:val="739"/>
                <w:rFonts w:hint="eastAsia" w:ascii="仿宋" w:hAnsi="仿宋" w:eastAsia="仿宋" w:cs="仿宋"/>
                <w:color w:val="auto"/>
                <w:sz w:val="28"/>
                <w:szCs w:val="28"/>
                <w:highlight w:val="none"/>
                <w:lang w:val="en-US" w:eastAsia="zh-CN" w:bidi="ar-SA"/>
              </w:rPr>
            </w:pPr>
            <w:r>
              <w:rPr>
                <w:rStyle w:val="739"/>
                <w:rFonts w:hint="eastAsia" w:ascii="仿宋" w:hAnsi="仿宋" w:eastAsia="仿宋" w:cs="仿宋"/>
                <w:color w:val="auto"/>
                <w:sz w:val="28"/>
                <w:szCs w:val="28"/>
                <w:highlight w:val="none"/>
                <w:lang w:val="en-US" w:eastAsia="zh-CN" w:bidi="ar-SA"/>
              </w:rPr>
              <w:t xml:space="preserve">序号</w:t>
            </w:r>
            <w:r/>
          </w:p>
        </w:tc>
        <w:tc>
          <w:tcPr>
            <w:gridSpan w:val="2"/>
            <w:tcBorders>
              <w:top w:val="single" w:color="auto" w:sz="4" w:space="0"/>
              <w:left w:val="single" w:color="auto" w:sz="4" w:space="0"/>
              <w:bottom w:val="single" w:color="auto" w:sz="4" w:space="0"/>
              <w:right w:val="single" w:color="auto" w:sz="4" w:space="0"/>
            </w:tcBorders>
            <w:tcW w:w="2639" w:type="dxa"/>
            <w:vAlign w:val="center"/>
            <w:textDirection w:val="lrTb"/>
            <w:noWrap w:val="false"/>
          </w:tcPr>
          <w:p>
            <w:pPr>
              <w:pStyle w:val="1066"/>
              <w:jc w:val="center"/>
              <w:spacing w:line="360" w:lineRule="exact"/>
              <w:widowControl/>
              <w:rPr>
                <w:rStyle w:val="739"/>
                <w:rFonts w:hint="eastAsia" w:ascii="仿宋" w:hAnsi="仿宋" w:eastAsia="仿宋" w:cs="仿宋"/>
                <w:color w:val="auto"/>
                <w:sz w:val="28"/>
                <w:szCs w:val="28"/>
                <w:highlight w:val="none"/>
                <w:lang w:val="en-US" w:eastAsia="zh-CN" w:bidi="ar-SA"/>
              </w:rPr>
            </w:pPr>
            <w:r>
              <w:rPr>
                <w:rStyle w:val="739"/>
                <w:rFonts w:hint="eastAsia" w:ascii="仿宋" w:hAnsi="仿宋" w:eastAsia="仿宋" w:cs="仿宋"/>
                <w:color w:val="auto"/>
                <w:sz w:val="28"/>
                <w:szCs w:val="28"/>
                <w:highlight w:val="none"/>
                <w:lang w:val="en-US" w:eastAsia="zh-CN" w:bidi="ar-SA"/>
              </w:rPr>
              <w:t xml:space="preserve">服务费用简述</w:t>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val="false"/>
          </w:tcPr>
          <w:p>
            <w:pPr>
              <w:pStyle w:val="1066"/>
              <w:jc w:val="center"/>
              <w:spacing w:line="360" w:lineRule="exact"/>
              <w:widowControl/>
              <w:rPr>
                <w:rStyle w:val="739"/>
                <w:rFonts w:hint="eastAsia" w:ascii="仿宋" w:hAnsi="仿宋" w:eastAsia="仿宋" w:cs="仿宋"/>
                <w:color w:val="auto"/>
                <w:sz w:val="28"/>
                <w:szCs w:val="28"/>
                <w:highlight w:val="none"/>
                <w:lang w:val="en-US" w:eastAsia="zh-CN" w:bidi="ar-SA"/>
              </w:rPr>
            </w:pPr>
            <w:r>
              <w:rPr>
                <w:rStyle w:val="739"/>
                <w:rFonts w:hint="eastAsia" w:ascii="仿宋" w:hAnsi="仿宋" w:eastAsia="仿宋" w:cs="仿宋"/>
                <w:color w:val="auto"/>
                <w:sz w:val="28"/>
                <w:szCs w:val="28"/>
                <w:highlight w:val="none"/>
                <w:lang w:val="en-US" w:eastAsia="zh-CN" w:bidi="ar-SA"/>
              </w:rPr>
              <w:t xml:space="preserve">承办服务费</w:t>
            </w:r>
            <w:r/>
          </w:p>
          <w:p>
            <w:pPr>
              <w:pStyle w:val="1066"/>
              <w:jc w:val="center"/>
              <w:spacing w:line="360" w:lineRule="exact"/>
              <w:widowControl/>
              <w:rPr>
                <w:rStyle w:val="739"/>
                <w:rFonts w:hint="default" w:ascii="仿宋" w:hAnsi="仿宋" w:eastAsia="仿宋" w:cs="仿宋"/>
                <w:color w:val="auto"/>
                <w:sz w:val="28"/>
                <w:szCs w:val="28"/>
                <w:highlight w:val="none"/>
                <w:lang w:val="en-US" w:eastAsia="zh-CN" w:bidi="ar-SA"/>
              </w:rPr>
            </w:pPr>
            <w:r>
              <w:rPr>
                <w:rStyle w:val="739"/>
                <w:rFonts w:hint="eastAsia" w:ascii="仿宋" w:hAnsi="仿宋" w:eastAsia="仿宋" w:cs="仿宋"/>
                <w:color w:val="auto"/>
                <w:sz w:val="28"/>
                <w:szCs w:val="28"/>
                <w:highlight w:val="none"/>
                <w:lang w:val="en-US" w:eastAsia="zh-CN" w:bidi="ar-SA"/>
              </w:rPr>
              <w:t xml:space="preserve">（</w:t>
            </w:r>
            <w:r>
              <w:rPr>
                <w:rFonts w:hint="eastAsia" w:ascii="仿宋" w:hAnsi="仿宋" w:eastAsia="仿宋" w:cs="仿宋"/>
                <w:color w:val="auto"/>
                <w:sz w:val="24"/>
                <w:szCs w:val="24"/>
                <w:highlight w:val="none"/>
                <w:lang w:val="en-US" w:eastAsia="zh-CN"/>
              </w:rPr>
              <w:t xml:space="preserve">元/每服务一个参保人员·年）</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pStyle w:val="1066"/>
              <w:jc w:val="center"/>
              <w:spacing w:line="360" w:lineRule="exact"/>
              <w:widowControl/>
              <w:rPr>
                <w:rStyle w:val="739"/>
                <w:rFonts w:hint="eastAsia" w:ascii="仿宋" w:hAnsi="仿宋" w:eastAsia="仿宋" w:cs="仿宋"/>
                <w:color w:val="auto"/>
                <w:sz w:val="28"/>
                <w:szCs w:val="28"/>
                <w:highlight w:val="none"/>
                <w:lang w:val="en-US" w:eastAsia="zh-CN" w:bidi="ar-SA"/>
              </w:rPr>
            </w:pPr>
            <w:r>
              <w:rPr>
                <w:rStyle w:val="739"/>
                <w:rFonts w:hint="eastAsia" w:ascii="仿宋" w:hAnsi="仿宋" w:eastAsia="仿宋" w:cs="仿宋"/>
                <w:color w:val="auto"/>
                <w:sz w:val="28"/>
                <w:szCs w:val="28"/>
                <w:highlight w:val="none"/>
                <w:lang w:val="en-US" w:eastAsia="zh-CN" w:bidi="ar-SA"/>
              </w:rPr>
              <w:t xml:space="preserve">数量</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pStyle w:val="1066"/>
              <w:jc w:val="center"/>
              <w:spacing w:line="360" w:lineRule="exact"/>
              <w:widowControl/>
              <w:rPr>
                <w:rStyle w:val="739"/>
                <w:rFonts w:hint="eastAsia" w:ascii="仿宋" w:hAnsi="仿宋" w:eastAsia="仿宋" w:cs="仿宋"/>
                <w:color w:val="auto"/>
                <w:sz w:val="28"/>
                <w:szCs w:val="28"/>
                <w:highlight w:val="none"/>
                <w:lang w:val="en-US" w:eastAsia="zh-CN" w:bidi="ar-SA"/>
              </w:rPr>
            </w:pPr>
            <w:r>
              <w:rPr>
                <w:rStyle w:val="739"/>
                <w:rFonts w:hint="eastAsia" w:ascii="仿宋" w:hAnsi="仿宋" w:eastAsia="仿宋" w:cs="仿宋"/>
                <w:color w:val="auto"/>
                <w:sz w:val="28"/>
                <w:szCs w:val="28"/>
                <w:highlight w:val="none"/>
                <w:lang w:val="en-US" w:eastAsia="zh-CN" w:bidi="ar-SA"/>
              </w:rPr>
              <w:t xml:space="preserve">备注</w:t>
            </w:r>
            <w:r/>
          </w:p>
        </w:tc>
      </w:tr>
      <w:tr>
        <w:trPr>
          <w:cantSplit/>
          <w:trHeight w:val="563"/>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066"/>
              <w:jc w:val="center"/>
              <w:spacing w:line="560" w:lineRule="exact"/>
              <w:widowControl/>
              <w:rPr>
                <w:rStyle w:val="739"/>
                <w:rFonts w:hint="eastAsia" w:ascii="仿宋" w:hAnsi="仿宋" w:eastAsia="仿宋" w:cs="仿宋"/>
                <w:color w:val="auto"/>
                <w:sz w:val="28"/>
                <w:szCs w:val="28"/>
                <w:highlight w:val="none"/>
                <w:lang w:val="en-US" w:eastAsia="zh-CN" w:bidi="ar-SA"/>
              </w:rPr>
            </w:pPr>
            <w:r>
              <w:rPr>
                <w:rStyle w:val="739"/>
                <w:rFonts w:hint="eastAsia" w:ascii="仿宋" w:hAnsi="仿宋" w:eastAsia="仿宋" w:cs="仿宋"/>
                <w:color w:val="auto"/>
                <w:sz w:val="28"/>
                <w:szCs w:val="28"/>
                <w:highlight w:val="none"/>
                <w:lang w:val="en-US" w:eastAsia="zh-CN" w:bidi="ar-SA"/>
              </w:rPr>
              <w:t xml:space="preserve">1</w:t>
            </w:r>
            <w:r/>
          </w:p>
        </w:tc>
        <w:tc>
          <w:tcPr>
            <w:gridSpan w:val="2"/>
            <w:tcBorders>
              <w:top w:val="single" w:color="auto" w:sz="4" w:space="0"/>
              <w:left w:val="single" w:color="auto" w:sz="4" w:space="0"/>
              <w:bottom w:val="single" w:color="auto" w:sz="4" w:space="0"/>
              <w:right w:val="single" w:color="auto" w:sz="4" w:space="0"/>
            </w:tcBorders>
            <w:tcW w:w="2639" w:type="dxa"/>
            <w:vAlign w:val="top"/>
            <w:textDirection w:val="lrTb"/>
            <w:noWrap w:val="false"/>
          </w:tcPr>
          <w:p>
            <w:pPr>
              <w:pStyle w:val="1066"/>
              <w:jc w:val="center"/>
              <w:spacing w:line="560" w:lineRule="exact"/>
              <w:widowControl/>
              <w:rPr>
                <w:rStyle w:val="739"/>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val="false"/>
          </w:tcPr>
          <w:p>
            <w:pPr>
              <w:pStyle w:val="1066"/>
              <w:jc w:val="center"/>
              <w:spacing w:line="560" w:lineRule="exact"/>
              <w:widowControl w:val="off"/>
              <w:rPr>
                <w:rStyle w:val="739"/>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single" w:color="auto" w:sz="4" w:space="0"/>
              <w:left w:val="single" w:color="auto" w:sz="4" w:space="0"/>
              <w:right w:val="single" w:color="auto" w:sz="4" w:space="0"/>
            </w:tcBorders>
            <w:tcW w:w="1097" w:type="dxa"/>
            <w:vAlign w:val="center"/>
            <w:vMerge w:val="restart"/>
            <w:textDirection w:val="lrTb"/>
            <w:noWrap w:val="false"/>
          </w:tcPr>
          <w:p>
            <w:pPr>
              <w:pStyle w:val="1066"/>
              <w:jc w:val="center"/>
              <w:spacing w:line="560" w:lineRule="exact"/>
              <w:widowControl w:val="off"/>
              <w:rPr>
                <w:rStyle w:val="739"/>
                <w:rFonts w:hint="eastAsia" w:ascii="仿宋" w:hAnsi="仿宋" w:eastAsia="仿宋" w:cs="仿宋"/>
                <w:color w:val="auto"/>
                <w:sz w:val="24"/>
                <w:szCs w:val="22"/>
                <w:highlight w:val="none"/>
                <w:lang w:val="en-US" w:eastAsia="zh-CN" w:bidi="ar-SA"/>
              </w:rPr>
            </w:pPr>
            <w:r>
              <w:rPr>
                <w:rStyle w:val="739"/>
                <w:rFonts w:hint="eastAsia" w:ascii="仿宋" w:hAnsi="仿宋" w:eastAsia="仿宋" w:cs="仿宋"/>
                <w:color w:val="auto"/>
                <w:sz w:val="24"/>
                <w:szCs w:val="22"/>
                <w:highlight w:val="none"/>
                <w:lang w:val="en-US" w:eastAsia="zh-CN" w:bidi="ar-SA"/>
              </w:rPr>
              <w:t xml:space="preserve">实际人数以各期参保人数为准</w:t>
            </w:r>
            <w:r/>
          </w:p>
        </w:tc>
        <w:tc>
          <w:tcPr>
            <w:tcBorders>
              <w:top w:val="single" w:color="auto" w:sz="4" w:space="0"/>
              <w:left w:val="single" w:color="auto" w:sz="4" w:space="0"/>
              <w:bottom w:val="single" w:color="auto" w:sz="4" w:space="0"/>
              <w:right w:val="single" w:color="auto" w:sz="4" w:space="0"/>
            </w:tcBorders>
            <w:tcW w:w="1256" w:type="dxa"/>
            <w:vAlign w:val="center"/>
            <w:vMerge w:val="restart"/>
            <w:textDirection w:val="lrTb"/>
            <w:noWrap w:val="false"/>
          </w:tcPr>
          <w:p>
            <w:pPr>
              <w:pStyle w:val="1066"/>
              <w:jc w:val="center"/>
              <w:spacing w:line="560" w:lineRule="exact"/>
              <w:widowControl w:val="off"/>
              <w:rPr>
                <w:rStyle w:val="739"/>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r>
      <w:tr>
        <w:trPr>
          <w:cantSplit/>
          <w:trHeight w:val="562"/>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066"/>
              <w:jc w:val="center"/>
              <w:spacing w:line="560" w:lineRule="exact"/>
              <w:widowControl/>
              <w:rPr>
                <w:rStyle w:val="739"/>
                <w:rFonts w:hint="eastAsia" w:ascii="仿宋" w:hAnsi="仿宋" w:eastAsia="仿宋" w:cs="仿宋"/>
                <w:color w:val="auto"/>
                <w:sz w:val="28"/>
                <w:szCs w:val="28"/>
                <w:highlight w:val="none"/>
                <w:lang w:val="en-US" w:eastAsia="zh-CN" w:bidi="ar-SA"/>
              </w:rPr>
            </w:pPr>
            <w:r>
              <w:rPr>
                <w:rStyle w:val="739"/>
                <w:rFonts w:hint="eastAsia" w:ascii="仿宋" w:hAnsi="仿宋" w:eastAsia="仿宋" w:cs="仿宋"/>
                <w:color w:val="auto"/>
                <w:sz w:val="28"/>
                <w:szCs w:val="28"/>
                <w:highlight w:val="none"/>
                <w:lang w:val="en-US" w:eastAsia="zh-CN" w:bidi="ar-SA"/>
              </w:rPr>
              <w:t xml:space="preserve">2</w:t>
            </w:r>
            <w:r/>
          </w:p>
        </w:tc>
        <w:tc>
          <w:tcPr>
            <w:gridSpan w:val="2"/>
            <w:tcBorders>
              <w:top w:val="single" w:color="auto" w:sz="4" w:space="0"/>
              <w:left w:val="single" w:color="auto" w:sz="4" w:space="0"/>
              <w:bottom w:val="single" w:color="auto" w:sz="4" w:space="0"/>
              <w:right w:val="single" w:color="auto" w:sz="4" w:space="0"/>
            </w:tcBorders>
            <w:tcW w:w="2639" w:type="dxa"/>
            <w:vAlign w:val="top"/>
            <w:textDirection w:val="lrTb"/>
            <w:noWrap w:val="false"/>
          </w:tcPr>
          <w:p>
            <w:pPr>
              <w:pStyle w:val="1066"/>
              <w:jc w:val="center"/>
              <w:spacing w:line="560" w:lineRule="exact"/>
              <w:widowControl/>
              <w:rPr>
                <w:rStyle w:val="739"/>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val="false"/>
          </w:tcPr>
          <w:p>
            <w:pPr>
              <w:pStyle w:val="1066"/>
              <w:jc w:val="center"/>
              <w:spacing w:line="560" w:lineRule="exact"/>
              <w:widowControl w:val="off"/>
              <w:rPr>
                <w:rStyle w:val="739"/>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left w:val="single" w:color="auto" w:sz="4" w:space="0"/>
              <w:right w:val="single" w:color="auto" w:sz="4" w:space="0"/>
            </w:tcBorders>
            <w:tcW w:w="1097" w:type="dxa"/>
            <w:vAlign w:val="top"/>
            <w:vMerge w:val="continue"/>
            <w:textDirection w:val="lrTb"/>
            <w:noWrap w:val="false"/>
          </w:tcPr>
          <w:p>
            <w:pPr>
              <w:pStyle w:val="1066"/>
              <w:jc w:val="center"/>
              <w:spacing w:line="560" w:lineRule="exact"/>
              <w:widowControl w:val="off"/>
              <w:rPr>
                <w:rStyle w:val="739"/>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56" w:type="dxa"/>
            <w:vAlign w:val="center"/>
            <w:vMerge w:val="restart"/>
            <w:textDirection w:val="lrTb"/>
            <w:noWrap w:val="false"/>
          </w:tcPr>
          <w:p>
            <w:pPr>
              <w:pStyle w:val="1066"/>
              <w:jc w:val="center"/>
              <w:spacing w:line="560" w:lineRule="exact"/>
              <w:widowControl w:val="off"/>
              <w:rPr>
                <w:rStyle w:val="739"/>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066"/>
              <w:jc w:val="center"/>
              <w:spacing w:line="560" w:lineRule="exact"/>
              <w:widowControl/>
              <w:rPr>
                <w:rStyle w:val="739"/>
                <w:rFonts w:hint="eastAsia" w:ascii="仿宋" w:hAnsi="仿宋" w:eastAsia="仿宋" w:cs="仿宋"/>
                <w:color w:val="auto"/>
                <w:sz w:val="28"/>
                <w:szCs w:val="28"/>
                <w:highlight w:val="none"/>
                <w:lang w:val="en-US" w:eastAsia="zh-CN" w:bidi="ar-SA"/>
              </w:rPr>
            </w:pPr>
            <w:r>
              <w:rPr>
                <w:rStyle w:val="739"/>
                <w:rFonts w:hint="eastAsia" w:ascii="仿宋" w:hAnsi="仿宋" w:eastAsia="仿宋" w:cs="仿宋"/>
                <w:color w:val="auto"/>
                <w:sz w:val="28"/>
                <w:szCs w:val="28"/>
                <w:highlight w:val="none"/>
                <w:lang w:val="en-US" w:eastAsia="zh-CN" w:bidi="ar-SA"/>
              </w:rPr>
              <w:t xml:space="preserve">3</w:t>
            </w:r>
            <w:r/>
          </w:p>
        </w:tc>
        <w:tc>
          <w:tcPr>
            <w:gridSpan w:val="2"/>
            <w:tcBorders>
              <w:top w:val="single" w:color="auto" w:sz="4" w:space="0"/>
              <w:left w:val="single" w:color="auto" w:sz="4" w:space="0"/>
              <w:bottom w:val="single" w:color="auto" w:sz="4" w:space="0"/>
              <w:right w:val="single" w:color="auto" w:sz="4" w:space="0"/>
            </w:tcBorders>
            <w:tcW w:w="2639" w:type="dxa"/>
            <w:vAlign w:val="top"/>
            <w:textDirection w:val="lrTb"/>
            <w:noWrap w:val="false"/>
          </w:tcPr>
          <w:p>
            <w:pPr>
              <w:pStyle w:val="1066"/>
              <w:jc w:val="center"/>
              <w:spacing w:line="560" w:lineRule="exact"/>
              <w:widowControl/>
              <w:rPr>
                <w:rStyle w:val="739"/>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val="false"/>
          </w:tcPr>
          <w:p>
            <w:pPr>
              <w:pStyle w:val="1066"/>
              <w:jc w:val="center"/>
              <w:spacing w:line="560" w:lineRule="exact"/>
              <w:widowControl w:val="off"/>
              <w:rPr>
                <w:rStyle w:val="739"/>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left w:val="single" w:color="auto" w:sz="4" w:space="0"/>
              <w:right w:val="single" w:color="auto" w:sz="4" w:space="0"/>
            </w:tcBorders>
            <w:tcW w:w="1097" w:type="dxa"/>
            <w:vAlign w:val="top"/>
            <w:vMerge w:val="continue"/>
            <w:textDirection w:val="lrTb"/>
            <w:noWrap w:val="false"/>
          </w:tcPr>
          <w:p>
            <w:pPr>
              <w:pStyle w:val="1066"/>
              <w:jc w:val="center"/>
              <w:spacing w:line="560" w:lineRule="exact"/>
              <w:widowControl w:val="off"/>
              <w:rPr>
                <w:rStyle w:val="739"/>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56" w:type="dxa"/>
            <w:vAlign w:val="center"/>
            <w:vMerge w:val="restart"/>
            <w:textDirection w:val="lrTb"/>
            <w:noWrap w:val="false"/>
          </w:tcPr>
          <w:p>
            <w:pPr>
              <w:pStyle w:val="1066"/>
              <w:jc w:val="center"/>
              <w:spacing w:line="560" w:lineRule="exact"/>
              <w:widowControl w:val="off"/>
              <w:rPr>
                <w:rStyle w:val="739"/>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066"/>
              <w:jc w:val="center"/>
              <w:spacing w:line="560" w:lineRule="exact"/>
              <w:widowControl/>
              <w:rPr>
                <w:rStyle w:val="739"/>
                <w:rFonts w:hint="eastAsia" w:ascii="仿宋" w:hAnsi="仿宋" w:eastAsia="仿宋" w:cs="仿宋"/>
                <w:color w:val="auto"/>
                <w:sz w:val="28"/>
                <w:szCs w:val="28"/>
                <w:highlight w:val="none"/>
                <w:lang w:val="en-US" w:eastAsia="zh-CN" w:bidi="ar-SA"/>
              </w:rPr>
            </w:pPr>
            <w:r>
              <w:rPr>
                <w:rStyle w:val="739"/>
                <w:rFonts w:hint="eastAsia" w:ascii="仿宋" w:hAnsi="仿宋" w:eastAsia="仿宋" w:cs="仿宋"/>
                <w:color w:val="auto"/>
                <w:sz w:val="28"/>
                <w:szCs w:val="28"/>
                <w:highlight w:val="none"/>
                <w:lang w:val="en-US" w:eastAsia="zh-CN" w:bidi="ar-SA"/>
              </w:rPr>
              <w:t xml:space="preserve">4</w:t>
            </w:r>
            <w:r/>
          </w:p>
        </w:tc>
        <w:tc>
          <w:tcPr>
            <w:gridSpan w:val="2"/>
            <w:tcBorders>
              <w:top w:val="single" w:color="auto" w:sz="4" w:space="0"/>
              <w:left w:val="single" w:color="auto" w:sz="4" w:space="0"/>
              <w:bottom w:val="single" w:color="auto" w:sz="4" w:space="0"/>
              <w:right w:val="single" w:color="auto" w:sz="4" w:space="0"/>
            </w:tcBorders>
            <w:tcW w:w="2639" w:type="dxa"/>
            <w:vAlign w:val="top"/>
            <w:textDirection w:val="lrTb"/>
            <w:noWrap w:val="false"/>
          </w:tcPr>
          <w:p>
            <w:pPr>
              <w:pStyle w:val="1066"/>
              <w:jc w:val="center"/>
              <w:spacing w:line="560" w:lineRule="exact"/>
              <w:widowControl/>
              <w:rPr>
                <w:rStyle w:val="739"/>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val="false"/>
          </w:tcPr>
          <w:p>
            <w:pPr>
              <w:pStyle w:val="1066"/>
              <w:jc w:val="center"/>
              <w:spacing w:line="560" w:lineRule="exact"/>
              <w:widowControl w:val="off"/>
              <w:rPr>
                <w:rStyle w:val="739"/>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left w:val="single" w:color="auto" w:sz="4" w:space="0"/>
              <w:right w:val="single" w:color="auto" w:sz="4" w:space="0"/>
            </w:tcBorders>
            <w:tcW w:w="1097" w:type="dxa"/>
            <w:vAlign w:val="top"/>
            <w:vMerge w:val="continue"/>
            <w:textDirection w:val="lrTb"/>
            <w:noWrap w:val="false"/>
          </w:tcPr>
          <w:p>
            <w:pPr>
              <w:pStyle w:val="1066"/>
              <w:jc w:val="center"/>
              <w:spacing w:line="560" w:lineRule="exact"/>
              <w:widowControl w:val="off"/>
              <w:rPr>
                <w:rStyle w:val="739"/>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56" w:type="dxa"/>
            <w:vAlign w:val="center"/>
            <w:vMerge w:val="restart"/>
            <w:textDirection w:val="lrTb"/>
            <w:noWrap w:val="false"/>
          </w:tcPr>
          <w:p>
            <w:pPr>
              <w:pStyle w:val="1066"/>
              <w:jc w:val="center"/>
              <w:spacing w:line="560" w:lineRule="exact"/>
              <w:widowControl w:val="off"/>
              <w:rPr>
                <w:rStyle w:val="739"/>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066"/>
              <w:jc w:val="center"/>
              <w:spacing w:line="560" w:lineRule="exact"/>
              <w:widowControl/>
              <w:rPr>
                <w:rStyle w:val="739"/>
                <w:rFonts w:hint="eastAsia" w:ascii="仿宋" w:hAnsi="仿宋" w:eastAsia="仿宋" w:cs="仿宋"/>
                <w:color w:val="auto"/>
                <w:sz w:val="28"/>
                <w:szCs w:val="28"/>
                <w:highlight w:val="none"/>
                <w:lang w:val="en-US" w:eastAsia="zh-CN" w:bidi="ar-SA"/>
              </w:rPr>
            </w:pPr>
            <w:r>
              <w:rPr>
                <w:rStyle w:val="739"/>
                <w:rFonts w:hint="eastAsia" w:ascii="仿宋" w:hAnsi="仿宋" w:eastAsia="仿宋" w:cs="仿宋"/>
                <w:color w:val="auto"/>
                <w:sz w:val="28"/>
                <w:szCs w:val="28"/>
                <w:highlight w:val="none"/>
                <w:lang w:val="en-US" w:eastAsia="zh-CN" w:bidi="ar-SA"/>
              </w:rPr>
              <w:t xml:space="preserve">5</w:t>
            </w:r>
            <w:r/>
          </w:p>
        </w:tc>
        <w:tc>
          <w:tcPr>
            <w:gridSpan w:val="2"/>
            <w:tcBorders>
              <w:top w:val="single" w:color="auto" w:sz="4" w:space="0"/>
              <w:left w:val="single" w:color="auto" w:sz="4" w:space="0"/>
              <w:bottom w:val="single" w:color="auto" w:sz="4" w:space="0"/>
              <w:right w:val="single" w:color="auto" w:sz="4" w:space="0"/>
            </w:tcBorders>
            <w:tcW w:w="2639" w:type="dxa"/>
            <w:vAlign w:val="top"/>
            <w:textDirection w:val="lrTb"/>
            <w:noWrap w:val="false"/>
          </w:tcPr>
          <w:p>
            <w:pPr>
              <w:pStyle w:val="1066"/>
              <w:jc w:val="center"/>
              <w:spacing w:line="560" w:lineRule="exact"/>
              <w:widowControl/>
              <w:rPr>
                <w:rStyle w:val="739"/>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val="false"/>
          </w:tcPr>
          <w:p>
            <w:pPr>
              <w:pStyle w:val="1066"/>
              <w:jc w:val="center"/>
              <w:spacing w:line="560" w:lineRule="exact"/>
              <w:widowControl w:val="off"/>
              <w:rPr>
                <w:rStyle w:val="739"/>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left w:val="single" w:color="auto" w:sz="4" w:space="0"/>
              <w:right w:val="single" w:color="auto" w:sz="4" w:space="0"/>
            </w:tcBorders>
            <w:tcW w:w="1097" w:type="dxa"/>
            <w:vAlign w:val="top"/>
            <w:vMerge w:val="continue"/>
            <w:textDirection w:val="lrTb"/>
            <w:noWrap w:val="false"/>
          </w:tcPr>
          <w:p>
            <w:pPr>
              <w:pStyle w:val="1066"/>
              <w:jc w:val="center"/>
              <w:spacing w:line="560" w:lineRule="exact"/>
              <w:widowControl w:val="off"/>
              <w:rPr>
                <w:rStyle w:val="739"/>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56" w:type="dxa"/>
            <w:vAlign w:val="center"/>
            <w:vMerge w:val="restart"/>
            <w:textDirection w:val="lrTb"/>
            <w:noWrap w:val="false"/>
          </w:tcPr>
          <w:p>
            <w:pPr>
              <w:pStyle w:val="1066"/>
              <w:jc w:val="center"/>
              <w:spacing w:line="560" w:lineRule="exact"/>
              <w:widowControl w:val="off"/>
              <w:rPr>
                <w:rStyle w:val="739"/>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066"/>
              <w:jc w:val="both"/>
              <w:spacing w:line="560" w:lineRule="exact"/>
              <w:widowControl/>
              <w:rPr>
                <w:rStyle w:val="739"/>
                <w:rFonts w:hint="eastAsia" w:ascii="仿宋" w:hAnsi="仿宋" w:eastAsia="仿宋" w:cs="仿宋"/>
                <w:color w:val="auto"/>
                <w:sz w:val="28"/>
                <w:szCs w:val="28"/>
                <w:highlight w:val="none"/>
                <w:lang w:val="en-US" w:eastAsia="zh-CN" w:bidi="ar-SA"/>
              </w:rPr>
            </w:pPr>
            <w:r>
              <w:rPr>
                <w:rStyle w:val="739"/>
                <w:rFonts w:hint="eastAsia" w:ascii="仿宋" w:hAnsi="仿宋" w:eastAsia="仿宋" w:cs="仿宋"/>
                <w:color w:val="auto"/>
                <w:sz w:val="28"/>
                <w:szCs w:val="28"/>
                <w:highlight w:val="none"/>
                <w:lang w:val="en-US" w:eastAsia="zh-CN" w:bidi="ar-SA"/>
              </w:rPr>
              <w:t xml:space="preserve">…</w:t>
            </w:r>
            <w:r/>
          </w:p>
        </w:tc>
        <w:tc>
          <w:tcPr>
            <w:gridSpan w:val="2"/>
            <w:tcBorders>
              <w:top w:val="single" w:color="auto" w:sz="4" w:space="0"/>
              <w:left w:val="single" w:color="auto" w:sz="4" w:space="0"/>
              <w:bottom w:val="single" w:color="auto" w:sz="4" w:space="0"/>
              <w:right w:val="single" w:color="auto" w:sz="4" w:space="0"/>
            </w:tcBorders>
            <w:tcW w:w="2639" w:type="dxa"/>
            <w:vAlign w:val="top"/>
            <w:textDirection w:val="lrTb"/>
            <w:noWrap w:val="false"/>
          </w:tcPr>
          <w:p>
            <w:pPr>
              <w:pStyle w:val="1066"/>
              <w:jc w:val="center"/>
              <w:spacing w:line="560" w:lineRule="exact"/>
              <w:widowControl/>
              <w:rPr>
                <w:rStyle w:val="739"/>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val="false"/>
          </w:tcPr>
          <w:p>
            <w:pPr>
              <w:pStyle w:val="1066"/>
              <w:jc w:val="center"/>
              <w:spacing w:line="560" w:lineRule="exact"/>
              <w:widowControl w:val="off"/>
              <w:rPr>
                <w:rStyle w:val="739"/>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left w:val="single" w:color="auto" w:sz="4" w:space="0"/>
              <w:bottom w:val="single" w:color="auto" w:sz="4" w:space="0"/>
              <w:right w:val="single" w:color="auto" w:sz="4" w:space="0"/>
            </w:tcBorders>
            <w:tcW w:w="1097" w:type="dxa"/>
            <w:vAlign w:val="top"/>
            <w:vMerge w:val="continue"/>
            <w:textDirection w:val="lrTb"/>
            <w:noWrap w:val="false"/>
          </w:tcPr>
          <w:p>
            <w:pPr>
              <w:pStyle w:val="1066"/>
              <w:jc w:val="center"/>
              <w:spacing w:line="560" w:lineRule="exact"/>
              <w:widowControl w:val="off"/>
              <w:rPr>
                <w:rStyle w:val="739"/>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pStyle w:val="1066"/>
              <w:jc w:val="center"/>
              <w:spacing w:line="560" w:lineRule="exact"/>
              <w:widowControl w:val="off"/>
              <w:rPr>
                <w:rStyle w:val="739"/>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r>
      <w:tr>
        <w:trPr>
          <w:cantSplit/>
          <w:trHeight w:val="140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066"/>
              <w:jc w:val="center"/>
              <w:spacing w:line="500" w:lineRule="exact"/>
              <w:widowControl w:val="off"/>
              <w:rPr>
                <w:rStyle w:val="739"/>
                <w:rFonts w:hint="eastAsia" w:ascii="仿宋" w:hAnsi="仿宋" w:eastAsia="仿宋" w:cs="仿宋"/>
                <w:b/>
                <w:bCs/>
                <w:color w:val="auto"/>
                <w:sz w:val="24"/>
                <w:szCs w:val="22"/>
                <w:highlight w:val="none"/>
                <w:lang w:val="en-US" w:eastAsia="zh-CN" w:bidi="ar-SA"/>
              </w:rPr>
            </w:pPr>
            <w:r>
              <w:rPr>
                <w:rStyle w:val="739"/>
                <w:rFonts w:hint="eastAsia" w:ascii="仿宋" w:hAnsi="仿宋" w:eastAsia="仿宋" w:cs="仿宋"/>
                <w:b/>
                <w:bCs/>
                <w:color w:val="auto"/>
                <w:sz w:val="28"/>
                <w:szCs w:val="28"/>
                <w:highlight w:val="none"/>
                <w:lang w:val="en-US" w:eastAsia="zh-CN" w:bidi="ar-SA"/>
              </w:rPr>
              <w:t xml:space="preserve">报价总计</w:t>
            </w:r>
            <w:r/>
          </w:p>
        </w:tc>
        <w:tc>
          <w:tcPr>
            <w:gridSpan w:val="4"/>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1066"/>
              <w:jc w:val="both"/>
              <w:spacing w:line="500" w:lineRule="exact"/>
              <w:widowControl w:val="off"/>
              <w:rPr>
                <w:rStyle w:val="739"/>
                <w:rFonts w:hint="eastAsia" w:ascii="仿宋" w:hAnsi="仿宋" w:eastAsia="仿宋" w:cs="仿宋"/>
                <w:b/>
                <w:bCs/>
                <w:color w:val="auto"/>
                <w:sz w:val="24"/>
                <w:szCs w:val="22"/>
                <w:highlight w:val="none"/>
                <w:lang w:val="en-US" w:eastAsia="zh-CN" w:bidi="ar-SA"/>
              </w:rPr>
            </w:pPr>
            <w:r>
              <w:rPr>
                <w:rStyle w:val="739"/>
                <w:rFonts w:hint="eastAsia" w:ascii="仿宋" w:hAnsi="仿宋" w:eastAsia="仿宋" w:cs="仿宋"/>
                <w:color w:val="auto"/>
                <w:sz w:val="24"/>
                <w:szCs w:val="22"/>
                <w:highlight w:val="none"/>
                <w:lang w:val="en-US" w:eastAsia="zh-CN" w:bidi="ar-SA"/>
              </w:rPr>
              <w:t xml:space="preserve">承办服务费为</w:t>
            </w:r>
            <w:r>
              <w:rPr>
                <w:rStyle w:val="739"/>
                <w:rFonts w:hint="eastAsia" w:ascii="仿宋" w:hAnsi="仿宋" w:eastAsia="仿宋" w:cs="仿宋"/>
                <w:color w:val="auto"/>
                <w:sz w:val="24"/>
                <w:szCs w:val="22"/>
                <w:highlight w:val="none"/>
                <w:u w:val="single"/>
                <w:lang w:val="en-US" w:eastAsia="zh-CN" w:bidi="ar-SA"/>
              </w:rPr>
              <w:t xml:space="preserve">       </w:t>
            </w:r>
            <w:r>
              <w:rPr>
                <w:rFonts w:hint="eastAsia" w:ascii="仿宋" w:hAnsi="仿宋" w:eastAsia="仿宋" w:cs="仿宋"/>
                <w:color w:val="auto"/>
                <w:sz w:val="24"/>
                <w:szCs w:val="24"/>
                <w:highlight w:val="none"/>
                <w:lang w:val="en-US" w:eastAsia="zh-CN"/>
              </w:rPr>
              <w:t xml:space="preserve">元/每服务一个参保人员·年</w:t>
            </w:r>
            <w:r>
              <w:rPr>
                <w:rStyle w:val="739"/>
                <w:rFonts w:hint="eastAsia" w:ascii="仿宋" w:hAnsi="仿宋" w:eastAsia="仿宋" w:cs="仿宋"/>
                <w:color w:val="auto"/>
                <w:sz w:val="24"/>
                <w:szCs w:val="22"/>
                <w:highlight w:val="none"/>
                <w:lang w:val="en-US" w:eastAsia="zh-CN" w:bidi="ar-SA"/>
              </w:rPr>
              <w:t xml:space="preserve">                </w:t>
            </w:r>
            <w:r/>
          </w:p>
        </w:tc>
      </w:tr>
    </w:tbl>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投标人名称：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（加盖CA电子公章）</w:t>
      </w:r>
      <w:r/>
    </w:p>
    <w:p>
      <w:pPr>
        <w:ind w:firstLine="480"/>
        <w:jc w:val="both"/>
        <w:keepLines w:val="0"/>
        <w:keepNext w:val="0"/>
        <w:pageBreakBefore w:val="0"/>
        <w:spacing w:line="560" w:lineRule="exac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4"/>
          <w:highlight w:val="none"/>
          <w:lang w:val="en-US" w:eastAsia="zh-CN" w:bidi="ar-SA"/>
        </w:rPr>
        <w:t xml:space="preserve">日期：    年    月   日</w:t>
      </w:r>
      <w:r/>
    </w:p>
    <w:p>
      <w:pPr>
        <w:spacing w:line="420" w:lineRule="exact"/>
        <w:rPr>
          <w:rFonts w:hint="eastAsia" w:ascii="仿宋" w:hAnsi="仿宋" w:eastAsia="仿宋" w:cs="仿宋"/>
          <w:color w:val="auto"/>
          <w:sz w:val="24"/>
          <w:szCs w:val="24"/>
          <w:highlight w:val="none"/>
        </w:rPr>
        <w:sectPr>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仿宋" w:hAnsi="仿宋" w:eastAsia="仿宋" w:cs="仿宋"/>
          <w:color w:val="auto"/>
          <w:sz w:val="24"/>
          <w:szCs w:val="24"/>
          <w:highlight w:val="none"/>
        </w:rPr>
      </w:r>
      <w:r/>
    </w:p>
    <w:p>
      <w:pPr>
        <w:pStyle w:val="922"/>
        <w:jc w:val="left"/>
        <w:keepNext w:val="0"/>
        <w:spacing w:before="120" w:after="12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六、中小企业声明函</w:t>
      </w:r>
      <w:r>
        <w:rPr>
          <w:rFonts w:hint="eastAsia" w:ascii="仿宋" w:hAnsi="仿宋" w:eastAsia="仿宋" w:cs="仿宋"/>
          <w:color w:val="auto"/>
          <w:sz w:val="32"/>
          <w:szCs w:val="32"/>
          <w:highlight w:val="none"/>
          <w:lang w:val="en-US" w:eastAsia="zh-CN"/>
        </w:rPr>
        <w:t xml:space="preserve">或</w:t>
      </w:r>
      <w:r>
        <w:rPr>
          <w:rFonts w:hint="eastAsia" w:ascii="仿宋" w:hAnsi="仿宋" w:eastAsia="仿宋" w:cs="仿宋"/>
          <w:b/>
          <w:color w:val="auto"/>
          <w:sz w:val="32"/>
          <w:szCs w:val="32"/>
          <w:highlight w:val="none"/>
        </w:rPr>
        <w:t xml:space="preserve">残疾人福利性单位声明函</w:t>
      </w:r>
      <w:r>
        <w:rPr>
          <w:rFonts w:hint="eastAsia" w:ascii="仿宋" w:hAnsi="仿宋" w:eastAsia="仿宋" w:cs="仿宋"/>
          <w:color w:val="auto"/>
          <w:sz w:val="32"/>
          <w:szCs w:val="32"/>
          <w:highlight w:val="none"/>
        </w:rPr>
        <w:t xml:space="preserve">（分包号：JSZC-321300-SQHS-G2025-0045）</w:t>
      </w:r>
      <w:r/>
    </w:p>
    <w:p>
      <w:pPr>
        <w:ind w:right="0"/>
        <w:jc w:val="center"/>
        <w:keepLines w:val="0"/>
        <w:keepNext w:val="0"/>
        <w:pageBreakBefore w:val="0"/>
        <w:spacing w:line="480" w:lineRule="auto"/>
        <w:widowControl w:val="off"/>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中小企业声明函</w:t>
      </w:r>
      <w:r/>
    </w:p>
    <w:p>
      <w:pPr>
        <w:ind w:left="0" w:right="0" w:firstLine="480"/>
        <w:keepLines w:val="0"/>
        <w:keepNext w:val="0"/>
        <w:pageBreakBefore w:val="0"/>
        <w:spacing w:line="48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本公司郑重声明，根据《政府采购促进中小企业发展管理办法》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财库[2020]46号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的规定，本公司参加江苏省政府采购代理机构组织的</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宿迁市医疗保障局</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采购编号为</w:t>
      </w:r>
      <w:r>
        <w:rPr>
          <w:rFonts w:hint="eastAsia" w:ascii="仿宋" w:hAnsi="仿宋" w:eastAsia="仿宋" w:cs="仿宋"/>
          <w:color w:val="auto"/>
          <w:sz w:val="24"/>
          <w:szCs w:val="24"/>
          <w:highlight w:val="none"/>
          <w:u w:val="single"/>
          <w:lang w:eastAsia="zh-CN"/>
        </w:rPr>
        <w:t xml:space="preserve">JSZC-321300-SQHS-G2025-0045</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宿迁市长期护理保险委托商保公司经办项目</w:t>
      </w:r>
      <w:r>
        <w:rPr>
          <w:rFonts w:hint="eastAsia" w:ascii="仿宋" w:hAnsi="仿宋" w:eastAsia="仿宋" w:cs="仿宋"/>
          <w:color w:val="auto"/>
          <w:sz w:val="24"/>
          <w:szCs w:val="24"/>
          <w:highlight w:val="none"/>
          <w:u w:val="single"/>
        </w:rPr>
        <w:t xml:space="preserve">）（分包号：JSZC-321300-SQHS-G2025-0045）</w:t>
      </w:r>
      <w:r>
        <w:rPr>
          <w:rFonts w:hint="eastAsia" w:ascii="仿宋" w:hAnsi="仿宋" w:eastAsia="仿宋" w:cs="仿宋"/>
          <w:color w:val="auto"/>
          <w:sz w:val="24"/>
          <w:szCs w:val="24"/>
          <w:highlight w:val="none"/>
        </w:rPr>
        <w:t xml:space="preserve">的采购活动，服务全部由符合政策的中小微企业承接。根据《工业和信息化部、国家统计局、国家发展和改革委员会、财政部关于印发中小企业划型标准规定的通知》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工信部联企业[2011]300号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的规定，相关企业（含联合体中的小微企业、签订分包意向协议的小微企业）的具体情况如下：</w:t>
      </w:r>
      <w:r/>
    </w:p>
    <w:p>
      <w:pPr>
        <w:ind w:left="0" w:right="0" w:firstLine="480"/>
        <w:keepLines w:val="0"/>
        <w:keepNext w:val="0"/>
        <w:pageBreakBefore w:val="0"/>
        <w:spacing w:line="480" w:lineRule="auto"/>
        <w:widowControl w:val="off"/>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（中型企业、小型企业、微型企业）；</w:t>
      </w:r>
      <w:r/>
    </w:p>
    <w:p>
      <w:pPr>
        <w:ind w:left="0" w:right="0" w:firstLine="480"/>
        <w:keepLines w:val="0"/>
        <w:keepNext w:val="0"/>
        <w:pageBreakBefore w:val="0"/>
        <w:spacing w:line="480" w:lineRule="auto"/>
        <w:widowControl w:val="off"/>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（中型企业、小型企业、微型企业）；</w:t>
      </w:r>
      <w:r/>
    </w:p>
    <w:p>
      <w:pPr>
        <w:ind w:left="0" w:right="0" w:firstLine="480"/>
        <w:keepLines w:val="0"/>
        <w:keepNext w:val="0"/>
        <w:pageBreakBefore w:val="0"/>
        <w:spacing w:line="48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line="48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left="0" w:right="0" w:firstLine="480"/>
        <w:keepLines w:val="0"/>
        <w:keepNext w:val="0"/>
        <w:pageBreakBefore w:val="0"/>
        <w:spacing w:line="48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ind w:left="0" w:right="0" w:firstLine="480"/>
        <w:keepLines w:val="0"/>
        <w:keepNext w:val="0"/>
        <w:pageBreakBefore w:val="0"/>
        <w:spacing w:line="48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left="0" w:right="0" w:firstLine="480"/>
        <w:keepLines w:val="0"/>
        <w:keepNext w:val="0"/>
        <w:pageBreakBefore w:val="0"/>
        <w:spacing w:line="48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firstLine="480"/>
        <w:jc w:val="right"/>
        <w:keepLines w:val="0"/>
        <w:keepNext w:val="0"/>
        <w:pageBreakBefore w:val="0"/>
        <w:spacing w:line="48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企业名称：（加盖CA电子公章）</w:t>
      </w:r>
      <w:r/>
    </w:p>
    <w:p>
      <w:pPr>
        <w:ind w:left="0" w:right="0" w:firstLine="480"/>
        <w:keepLines w:val="0"/>
        <w:keepNext w:val="0"/>
        <w:pageBreakBefore w:val="0"/>
        <w:spacing w:line="48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rPr>
          <w:rFonts w:hint="eastAsia" w:ascii="仿宋" w:hAnsi="仿宋" w:eastAsia="仿宋" w:cs="仿宋"/>
          <w:b/>
          <w:color w:val="auto"/>
          <w:sz w:val="32"/>
          <w:szCs w:val="32"/>
          <w:highlight w:val="none"/>
        </w:rPr>
      </w:pPr>
      <w:r/>
      <w:bookmarkStart w:id="211" w:name="_Hlk172201893"/>
      <w:r>
        <w:rPr>
          <w:rFonts w:hint="eastAsia" w:ascii="仿宋" w:hAnsi="仿宋" w:eastAsia="仿宋" w:cs="仿宋"/>
          <w:b/>
          <w:color w:val="auto"/>
          <w:sz w:val="32"/>
          <w:szCs w:val="32"/>
          <w:highlight w:val="none"/>
        </w:rPr>
        <w:br w:type="page" w:clear="all"/>
      </w:r>
      <w:r/>
    </w:p>
    <w:p>
      <w:pPr>
        <w:ind w:left="0" w:right="0" w:firstLine="643"/>
        <w:jc w:val="center"/>
        <w:keepLines w:val="0"/>
        <w:keepNext w:val="0"/>
        <w:pageBreakBefore w:val="0"/>
        <w:spacing w:line="480" w:lineRule="auto"/>
        <w:widowControl w:val="off"/>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 xml:space="preserve">残疾人福利性单位声明函</w:t>
      </w:r>
      <w:bookmarkEnd w:id="211"/>
      <w:r/>
      <w:r/>
    </w:p>
    <w:p>
      <w:pPr>
        <w:ind w:left="0" w:right="0" w:firstLine="480"/>
        <w:keepLines w:val="0"/>
        <w:keepNext w:val="0"/>
        <w:pageBreakBefore w:val="0"/>
        <w:spacing w:line="48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0" w:right="0" w:firstLine="480"/>
        <w:keepLines w:val="0"/>
        <w:keepNext w:val="0"/>
        <w:pageBreakBefore w:val="0"/>
        <w:spacing w:line="56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24"/>
          <w:highlight w:val="none"/>
          <w:lang w:eastAsia="zh-CN"/>
        </w:rPr>
        <w:t xml:space="preserve">〔2017〕141号</w:t>
      </w:r>
      <w:r>
        <w:rPr>
          <w:rFonts w:hint="eastAsia" w:ascii="仿宋" w:hAnsi="仿宋" w:eastAsia="仿宋" w:cs="仿宋"/>
          <w:color w:val="auto"/>
          <w:sz w:val="24"/>
          <w:highlight w:val="none"/>
        </w:rPr>
        <w:t xml:space="preserve">）的规定，本单位为符合条件的残疾人福利性单位，且本单位参加</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单位的采购文件编号为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项目（分包号：**）采购活动由本单位提供服务。</w:t>
      </w:r>
      <w:r/>
    </w:p>
    <w:p>
      <w:pPr>
        <w:ind w:left="0" w:right="0" w:firstLine="480"/>
        <w:keepLines w:val="0"/>
        <w:keepNext w:val="0"/>
        <w:pageBreakBefore w:val="0"/>
        <w:spacing w:line="56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本单位对上述声明的真实性负责。如有虚假，将依法承担相应责任。</w:t>
      </w:r>
      <w:r/>
    </w:p>
    <w:p>
      <w:pPr>
        <w:ind w:left="0" w:right="0" w:firstLine="480"/>
        <w:keepLines w:val="0"/>
        <w:keepNext w:val="0"/>
        <w:pageBreakBefore w:val="0"/>
        <w:spacing w:line="56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0" w:right="0" w:firstLine="480"/>
        <w:keepLines w:val="0"/>
        <w:keepNext w:val="0"/>
        <w:pageBreakBefore w:val="0"/>
        <w:spacing w:line="56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（备注：1、投标人如不提供此声明函，价格将不做相应扣除。2、中标人为残疾人福利单位的，此声明函将随中标结果同时公告，接受社会监督。）</w:t>
      </w:r>
      <w:r/>
    </w:p>
    <w:p>
      <w:pPr>
        <w:ind w:left="0" w:right="0" w:firstLine="624"/>
        <w:keepLines w:val="0"/>
        <w:keepNext w:val="0"/>
        <w:pageBreakBefore w:val="0"/>
        <w:spacing w:line="560" w:lineRule="exact"/>
        <w:widowControl w:val="off"/>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r>
      <w:r/>
    </w:p>
    <w:p>
      <w:pPr>
        <w:pStyle w:val="1029"/>
        <w:ind w:left="0" w:right="0" w:firstLine="420"/>
        <w:keepLines w:val="0"/>
        <w:keepNext w:val="0"/>
        <w:pageBreakBefore w:val="0"/>
        <w:spacing w:line="56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ind w:left="0" w:right="0" w:firstLine="480"/>
        <w:jc w:val="righ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企业名称：（加盖CA电子公章）</w:t>
      </w:r>
      <w:r/>
    </w:p>
    <w:p>
      <w:pPr>
        <w:ind w:left="0" w:righ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numPr>
          <w:ilvl w:val="0"/>
          <w:numId w:val="0"/>
        </w:numPr>
        <w:jc w:val="left"/>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
          <w:color w:val="auto"/>
          <w:sz w:val="32"/>
          <w:szCs w:val="32"/>
          <w:highlight w:val="none"/>
          <w:lang w:val="en-US" w:eastAsia="zh-CN"/>
        </w:rPr>
        <w:t xml:space="preserve">七、</w:t>
      </w:r>
      <w:r>
        <w:rPr>
          <w:rFonts w:hint="eastAsia" w:ascii="仿宋" w:hAnsi="仿宋" w:eastAsia="仿宋" w:cs="仿宋"/>
          <w:b/>
          <w:color w:val="auto"/>
          <w:sz w:val="32"/>
          <w:szCs w:val="32"/>
          <w:highlight w:val="none"/>
        </w:rPr>
        <w:t xml:space="preserve">技术要求响应及偏离表（分包号：**）</w:t>
      </w:r>
      <w:r/>
    </w:p>
    <w:p>
      <w:pPr>
        <w:numPr>
          <w:ilvl w:val="0"/>
          <w:numId w:val="0"/>
        </w:numPr>
        <w:jc w:val="left"/>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tbl>
      <w:tblPr>
        <w:tblStyle w:val="740"/>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3291" w:type="dxa"/>
            <w:vAlign w:val="center"/>
            <w:textDirection w:val="lrTb"/>
            <w:noWrap w:val="false"/>
          </w:tcPr>
          <w:p>
            <w:pPr>
              <w:pStyle w:val="970"/>
              <w:jc w:val="center"/>
              <w:keepLines w:val="0"/>
              <w:keepNext w:val="0"/>
              <w:pageBreakBefore w:val="0"/>
              <w:spacing w:before="0" w:beforeAutospacing="0" w:after="0" w:afterAutospacing="0"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招标文件“第四</w:t>
            </w:r>
            <w:r>
              <w:rPr>
                <w:rFonts w:hint="eastAsia" w:ascii="仿宋" w:hAnsi="仿宋" w:eastAsia="仿宋" w:cs="仿宋"/>
                <w:color w:val="auto"/>
                <w:highlight w:val="none"/>
                <w:lang w:val="en-US" w:eastAsia="zh-CN"/>
              </w:rPr>
              <w:t xml:space="preserve">章 </w:t>
            </w:r>
            <w:r>
              <w:rPr>
                <w:rFonts w:hint="eastAsia" w:ascii="仿宋" w:hAnsi="仿宋" w:eastAsia="仿宋" w:cs="仿宋"/>
                <w:color w:val="auto"/>
                <w:highlight w:val="none"/>
              </w:rPr>
              <w:t xml:space="preserve">采购需求”中所列内容</w:t>
            </w:r>
            <w:r/>
          </w:p>
        </w:tc>
        <w:tc>
          <w:tcPr>
            <w:tcW w:w="2852" w:type="dxa"/>
            <w:vAlign w:val="center"/>
            <w:textDirection w:val="lrTb"/>
            <w:noWrap w:val="false"/>
          </w:tcPr>
          <w:p>
            <w:pPr>
              <w:pStyle w:val="970"/>
              <w:jc w:val="center"/>
              <w:keepLines w:val="0"/>
              <w:keepNext w:val="0"/>
              <w:pageBreakBefore w:val="0"/>
              <w:spacing w:before="0" w:beforeAutospacing="0" w:after="0" w:afterAutospacing="0"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响应情况（填报“响应或完全响应”）</w:t>
            </w:r>
            <w:r/>
          </w:p>
        </w:tc>
        <w:tc>
          <w:tcPr>
            <w:tcW w:w="1308" w:type="dxa"/>
            <w:vAlign w:val="center"/>
            <w:textDirection w:val="lrTb"/>
            <w:noWrap w:val="false"/>
          </w:tcPr>
          <w:p>
            <w:pPr>
              <w:pStyle w:val="970"/>
              <w:jc w:val="center"/>
              <w:keepLines w:val="0"/>
              <w:keepNext w:val="0"/>
              <w:pageBreakBefore w:val="0"/>
              <w:spacing w:before="0" w:beforeAutospacing="0" w:after="0" w:afterAutospacing="0"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偏离（填报“正偏离、符合或负偏离”）</w:t>
            </w:r>
            <w:r/>
          </w:p>
        </w:tc>
        <w:tc>
          <w:tcPr>
            <w:tcW w:w="1173" w:type="dxa"/>
            <w:vAlign w:val="center"/>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证明</w:t>
            </w:r>
            <w:r/>
          </w:p>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材料</w:t>
            </w:r>
            <w:r/>
          </w:p>
        </w:tc>
      </w:tr>
      <w:tr>
        <w:trPr>
          <w:cantSplit/>
          <w:trHeight w:val="640"/>
        </w:trPr>
        <w:tc>
          <w:tcPr>
            <w:tcW w:w="545"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2852"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480"/>
        <w:keepLines w:val="0"/>
        <w:keepNext w:val="0"/>
        <w:pageBreakBefore w:val="0"/>
        <w:spacing w:line="56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1.投标人必须对招标文件“第四章 采购需求”中所列内容</w:t>
      </w:r>
      <w:r>
        <w:rPr>
          <w:rFonts w:hint="eastAsia" w:ascii="仿宋" w:hAnsi="仿宋" w:eastAsia="仿宋" w:cs="仿宋"/>
          <w:b/>
          <w:bCs/>
          <w:color w:val="auto"/>
          <w:sz w:val="24"/>
          <w:highlight w:val="none"/>
          <w:lang w:val="en-US" w:eastAsia="zh-CN"/>
        </w:rPr>
        <w:t xml:space="preserve">分条目</w:t>
      </w:r>
      <w:r>
        <w:rPr>
          <w:rFonts w:hint="eastAsia" w:ascii="仿宋" w:hAnsi="仿宋" w:eastAsia="仿宋" w:cs="仿宋"/>
          <w:color w:val="auto"/>
          <w:sz w:val="24"/>
          <w:highlight w:val="none"/>
        </w:rPr>
        <w:t xml:space="preserve">做出明确响应，否则作无效响应处理。</w:t>
      </w:r>
      <w:r/>
    </w:p>
    <w:p>
      <w:pPr>
        <w:ind w:firstLine="480"/>
        <w:keepLines w:val="0"/>
        <w:keepNext w:val="0"/>
        <w:pageBreakBefore w:val="0"/>
        <w:spacing w:line="56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2.如果采购文件要求提供证明材料，投标人必须将证明材料列于该表之下。</w:t>
      </w:r>
      <w:r/>
    </w:p>
    <w:p>
      <w:pPr>
        <w:ind w:firstLine="480"/>
        <w:keepLines w:val="0"/>
        <w:keepNext w:val="0"/>
        <w:pageBreakBefore w:val="0"/>
        <w:spacing w:line="56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3.投标人未对实质性要求作出明确响应的，或未按采购文件要求提供证明材料的，该分包作无效响应处理。</w:t>
      </w:r>
      <w:r/>
    </w:p>
    <w:p>
      <w:pPr>
        <w:ind w:firstLine="480"/>
        <w:keepLines w:val="0"/>
        <w:keepNext w:val="0"/>
        <w:pageBreakBefore w:val="0"/>
        <w:spacing w:line="56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4.行数不够，可自行添加。</w:t>
      </w:r>
      <w:r/>
    </w:p>
    <w:p>
      <w:pPr>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Style w:val="1032"/>
        <w:rPr>
          <w:rFonts w:hint="eastAsia" w:ascii="仿宋" w:hAnsi="仿宋" w:eastAsia="仿宋" w:cs="仿宋"/>
          <w:color w:val="auto"/>
          <w:highlight w:val="none"/>
        </w:rPr>
        <w:outlineLvl w:val="9"/>
      </w:pPr>
      <w:r>
        <w:rPr>
          <w:rFonts w:hint="eastAsia" w:ascii="仿宋" w:hAnsi="仿宋" w:eastAsia="仿宋" w:cs="仿宋"/>
          <w:color w:val="auto"/>
          <w:highlight w:val="none"/>
        </w:rPr>
      </w:r>
      <w:r/>
    </w:p>
    <w:p>
      <w:pPr>
        <w:pStyle w:val="1032"/>
        <w:rPr>
          <w:rFonts w:hint="eastAsia" w:ascii="仿宋" w:hAnsi="仿宋" w:eastAsia="仿宋" w:cs="仿宋"/>
          <w:color w:val="auto"/>
          <w:highlight w:val="none"/>
        </w:rPr>
        <w:outlineLvl w:val="9"/>
      </w:pPr>
      <w:r>
        <w:rPr>
          <w:rFonts w:hint="eastAsia" w:ascii="仿宋" w:hAnsi="仿宋" w:eastAsia="仿宋" w:cs="仿宋"/>
          <w:color w:val="auto"/>
          <w:highlight w:val="none"/>
        </w:rPr>
      </w:r>
      <w:r/>
    </w:p>
    <w:p>
      <w:pPr>
        <w:pStyle w:val="1032"/>
        <w:jc w:val="left"/>
        <w:rPr>
          <w:rFonts w:hint="eastAsia" w:ascii="仿宋" w:hAnsi="仿宋" w:eastAsia="仿宋" w:cs="仿宋"/>
          <w:color w:val="auto"/>
          <w:highlight w:val="none"/>
          <w:lang w:val="en-US" w:eastAsia="zh-CN"/>
        </w:rPr>
        <w:outlineLvl w:val="1"/>
      </w:pPr>
      <w:r>
        <w:rPr>
          <w:rFonts w:hint="eastAsia" w:ascii="仿宋" w:hAnsi="仿宋" w:eastAsia="仿宋" w:cs="仿宋"/>
          <w:color w:val="auto"/>
          <w:highlight w:val="none"/>
          <w:lang w:val="en-US" w:eastAsia="zh-CN"/>
        </w:rPr>
        <w:t xml:space="preserve">八</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项目组人员</w:t>
      </w:r>
      <w:r/>
    </w:p>
    <w:tbl>
      <w:tblPr>
        <w:tblStyle w:val="740"/>
        <w:tblpPr w:horzAnchor="margin" w:tblpXSpec="center" w:vertAnchor="text" w:tblpY="74" w:leftFromText="180" w:topFromText="0" w:rightFromText="180" w:bottomFromText="0"/>
        <w:tblW w:w="86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985"/>
        <w:gridCol w:w="850"/>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3"/>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33"/>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3"/>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3"/>
              <w:ind w:firstLine="280"/>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33"/>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隶属分支机构</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33"/>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0"/>
              <w:jc w:val="center"/>
              <w:keepLines w:val="0"/>
              <w:keepNext w:val="0"/>
              <w:pageBreakBefore w:val="0"/>
              <w:spacing w:before="0" w:beforeAutospacing="0" w:after="0" w:afterAutospacing="0" w:line="560" w:lineRule="exact"/>
              <w:widowControl/>
              <w:rPr>
                <w:rFonts w:hint="eastAsia" w:ascii="仿宋" w:hAnsi="仿宋" w:eastAsia="仿宋" w:cs="仿宋"/>
                <w:color w:val="auto"/>
                <w:sz w:val="20"/>
                <w:szCs w:val="20"/>
                <w:highlight w:val="none"/>
              </w:rPr>
            </w:pPr>
            <w:r>
              <w:rPr>
                <w:rFonts w:hint="eastAsia" w:ascii="仿宋" w:hAnsi="仿宋" w:eastAsia="仿宋" w:cs="仿宋"/>
                <w:color w:val="auto"/>
                <w:sz w:val="28"/>
                <w:szCs w:val="2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0"/>
              <w:jc w:val="center"/>
              <w:keepLines w:val="0"/>
              <w:keepNext w:val="0"/>
              <w:pageBreakBefore w:val="0"/>
              <w:spacing w:before="0" w:beforeAutospacing="0" w:after="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0"/>
              <w:ind w:firstLine="420"/>
              <w:keepLines w:val="0"/>
              <w:keepNext w:val="0"/>
              <w:pageBreakBefore w:val="0"/>
              <w:spacing w:before="0" w:beforeAutospacing="0" w:after="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0"/>
              <w:keepLines w:val="0"/>
              <w:keepNext w:val="0"/>
              <w:pageBreakBefore w:val="0"/>
              <w:spacing w:before="0" w:beforeAutospacing="0" w:after="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0"/>
              <w:keepLines w:val="0"/>
              <w:keepNext w:val="0"/>
              <w:pageBreakBefore w:val="0"/>
              <w:spacing w:before="0" w:beforeAutospacing="0" w:after="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33"/>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pStyle w:val="970"/>
        <w:ind w:firstLine="482"/>
        <w:keepLines w:val="0"/>
        <w:keepNext w:val="0"/>
        <w:pageBreakBefore w:val="0"/>
        <w:spacing w:before="0" w:beforeAutospacing="0" w:after="0" w:afterAutospacing="0" w:line="560" w:lineRule="exact"/>
        <w:widowControl/>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1037"/>
        <w:jc w:val="left"/>
        <w:rPr>
          <w:rFonts w:hint="eastAsia" w:ascii="仿宋" w:hAnsi="仿宋" w:eastAsia="仿宋" w:cs="仿宋"/>
          <w:color w:val="auto"/>
          <w:highlight w:val="none"/>
          <w:lang w:val="en-US" w:eastAsia="zh-CN"/>
        </w:rPr>
        <w:sectPr>
          <w:footnotePr/>
          <w:endnotePr/>
          <w:type w:val="nextPage"/>
          <w:pgSz w:w="11906" w:h="16838" w:orient="portrait"/>
          <w:pgMar w:top="1418" w:right="1588" w:bottom="1418" w:left="1365" w:header="851" w:footer="907" w:gutter="0"/>
          <w:cols w:num="1" w:sep="0" w:space="720" w:equalWidth="1"/>
          <w:docGrid w:linePitch="360"/>
          <w:titlePg/>
        </w:sectPr>
        <w:outlineLvl w:val="1"/>
      </w:pPr>
      <w:r/>
      <w:bookmarkStart w:id="212" w:name="_Toc28140"/>
      <w:r/>
      <w:r/>
    </w:p>
    <w:p>
      <w:pPr>
        <w:pStyle w:val="1032"/>
        <w:jc w:val="left"/>
        <w:rPr>
          <w:rFonts w:hint="default" w:ascii="仿宋" w:hAnsi="仿宋" w:eastAsia="仿宋" w:cs="仿宋"/>
          <w:color w:val="auto"/>
          <w:highlight w:val="none"/>
          <w:lang w:val="en-US" w:eastAsia="zh-CN"/>
        </w:rPr>
        <w:outlineLvl w:val="1"/>
      </w:pPr>
      <w:r>
        <w:rPr>
          <w:rFonts w:hint="eastAsia" w:ascii="仿宋" w:hAnsi="仿宋" w:eastAsia="仿宋" w:cs="仿宋"/>
          <w:color w:val="auto"/>
          <w:highlight w:val="none"/>
          <w:lang w:val="en-US" w:eastAsia="zh-CN"/>
        </w:rPr>
        <w:t xml:space="preserve">九、企业业绩</w:t>
      </w:r>
      <w:r/>
    </w:p>
    <w:p>
      <w:pPr>
        <w:ind w:left="0" w:right="0" w:firstLine="643"/>
        <w:jc w:val="center"/>
        <w:keepLines w:val="0"/>
        <w:keepNext w:val="0"/>
        <w:pageBreakBefore w:val="0"/>
        <w:spacing w:line="480" w:lineRule="auto"/>
        <w:widowControl w:val="off"/>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 xml:space="preserve">投标人承担类似项目业绩一览表</w:t>
      </w:r>
      <w:r/>
    </w:p>
    <w:tbl>
      <w:tblPr>
        <w:tblStyle w:val="740"/>
        <w:tblpPr w:horzAnchor="text" w:tblpXSpec="center" w:vertAnchor="text" w:tblpY="1" w:leftFromText="180" w:topFromText="0" w:rightFromText="180" w:bottomFromText="0"/>
        <w:tblW w:w="88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4"/>
        </w:trPr>
        <w:tc>
          <w:tcPr>
            <w:tcW w:w="1229" w:type="dxa"/>
            <w:vAlign w:val="center"/>
            <w:textDirection w:val="lrTb"/>
            <w:noWrap w:val="false"/>
          </w:tcPr>
          <w:p>
            <w:pPr>
              <w:pStyle w:val="1033"/>
              <w:ind w:firstLine="28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序号</w:t>
            </w:r>
            <w:r/>
          </w:p>
        </w:tc>
        <w:tc>
          <w:tcPr>
            <w:tcW w:w="3827" w:type="dxa"/>
            <w:vAlign w:val="center"/>
            <w:textDirection w:val="lrTb"/>
            <w:noWrap w:val="false"/>
          </w:tcPr>
          <w:p>
            <w:pPr>
              <w:pStyle w:val="1033"/>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项目名称</w:t>
            </w:r>
            <w:r/>
          </w:p>
        </w:tc>
        <w:tc>
          <w:tcPr>
            <w:tcW w:w="2433" w:type="dxa"/>
            <w:vAlign w:val="center"/>
            <w:textDirection w:val="lrTb"/>
            <w:noWrap w:val="false"/>
          </w:tcPr>
          <w:p>
            <w:pPr>
              <w:pStyle w:val="1033"/>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采购单位</w:t>
            </w:r>
            <w:r/>
          </w:p>
        </w:tc>
        <w:tc>
          <w:tcPr>
            <w:tcW w:w="1395" w:type="dxa"/>
            <w:vAlign w:val="center"/>
            <w:textDirection w:val="lrTb"/>
            <w:noWrap w:val="false"/>
          </w:tcPr>
          <w:p>
            <w:pPr>
              <w:pStyle w:val="1033"/>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合同金额</w:t>
            </w:r>
            <w:r/>
          </w:p>
        </w:tc>
      </w:tr>
      <w:tr>
        <w:trPr>
          <w:trHeight w:val="1510"/>
        </w:trPr>
        <w:tc>
          <w:tcPr>
            <w:tcW w:w="1229" w:type="dxa"/>
            <w:vAlign w:val="top"/>
            <w:textDirection w:val="lrTb"/>
            <w:noWrap w:val="false"/>
          </w:tcPr>
          <w:p>
            <w:pPr>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r>
      <w:tr>
        <w:trPr>
          <w:trHeight w:val="1510"/>
        </w:trPr>
        <w:tc>
          <w:tcPr>
            <w:tcW w:w="1229" w:type="dxa"/>
            <w:vAlign w:val="top"/>
            <w:textDirection w:val="lrTb"/>
            <w:noWrap w:val="false"/>
          </w:tcPr>
          <w:p>
            <w:pPr>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r>
      <w:tr>
        <w:trPr>
          <w:trHeight w:val="1510"/>
        </w:trPr>
        <w:tc>
          <w:tcPr>
            <w:tcW w:w="1229" w:type="dxa"/>
            <w:vAlign w:val="top"/>
            <w:textDirection w:val="lrTb"/>
            <w:noWrap w:val="false"/>
          </w:tcPr>
          <w:p>
            <w:pPr>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r>
      <w:tr>
        <w:trPr>
          <w:trHeight w:val="1525"/>
        </w:trPr>
        <w:tc>
          <w:tcPr>
            <w:tcW w:w="1229" w:type="dxa"/>
            <w:vAlign w:val="top"/>
            <w:textDirection w:val="lrTb"/>
            <w:noWrap w:val="false"/>
          </w:tcPr>
          <w:p>
            <w:pPr>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r>
    </w:tbl>
    <w:p>
      <w:pPr>
        <w:ind w:firstLine="480"/>
        <w:keepLines w:val="0"/>
        <w:keepNext w:val="0"/>
        <w:pageBreakBefore w:val="0"/>
        <w:spacing w:line="560" w:lineRule="exact"/>
        <w:widowControl w:val="off"/>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注：请填写此表，并按要求上传业绩资料电子件。</w:t>
      </w:r>
      <w:r/>
    </w:p>
    <w:p>
      <w:pPr>
        <w:pStyle w:val="1037"/>
        <w:jc w:val="left"/>
        <w:rPr>
          <w:rFonts w:hint="eastAsia" w:ascii="仿宋" w:hAnsi="仿宋" w:eastAsia="仿宋" w:cs="仿宋"/>
          <w:color w:val="auto"/>
          <w:highlight w:val="none"/>
        </w:rPr>
        <w:sectPr>
          <w:footnotePr/>
          <w:endnotePr/>
          <w:type w:val="nextPage"/>
          <w:pgSz w:w="11906" w:h="16838" w:orient="portrait"/>
          <w:pgMar w:top="1418" w:right="1588" w:bottom="1418" w:left="1365" w:header="851" w:footer="907" w:gutter="0"/>
          <w:cols w:num="1" w:sep="0" w:space="720" w:equalWidth="1"/>
          <w:docGrid w:linePitch="360"/>
          <w:titlePg/>
        </w:sectPr>
        <w:outlineLvl w:val="1"/>
      </w:pPr>
      <w:r>
        <w:rPr>
          <w:rFonts w:hint="eastAsia" w:ascii="仿宋" w:hAnsi="仿宋" w:eastAsia="仿宋" w:cs="仿宋"/>
          <w:color w:val="auto"/>
          <w:highlight w:val="none"/>
        </w:rPr>
      </w:r>
      <w:r/>
    </w:p>
    <w:p>
      <w:pPr>
        <w:pStyle w:val="1037"/>
        <w:jc w:val="left"/>
        <w:rPr>
          <w:rFonts w:hint="eastAsia" w:ascii="仿宋" w:hAnsi="仿宋" w:eastAsia="仿宋" w:cs="仿宋"/>
          <w:color w:val="auto"/>
          <w:highlight w:val="none"/>
        </w:rPr>
        <w:outlineLvl w:val="1"/>
      </w:pPr>
      <w:r>
        <w:rPr>
          <w:rFonts w:hint="eastAsia" w:ascii="仿宋" w:hAnsi="仿宋" w:eastAsia="仿宋" w:cs="仿宋"/>
          <w:color w:val="auto"/>
          <w:highlight w:val="none"/>
          <w:lang w:val="en-US" w:eastAsia="zh-CN"/>
        </w:rPr>
        <w:t xml:space="preserve">十、</w:t>
      </w:r>
      <w:r>
        <w:rPr>
          <w:rFonts w:hint="eastAsia" w:ascii="仿宋" w:hAnsi="仿宋" w:eastAsia="仿宋" w:cs="仿宋"/>
          <w:color w:val="auto"/>
          <w:highlight w:val="none"/>
        </w:rPr>
        <w:t xml:space="preserve">投标所需其他材料</w:t>
      </w:r>
      <w:bookmarkEnd w:id="212"/>
      <w:r/>
      <w:r/>
    </w:p>
    <w:p>
      <w:pPr>
        <w:pStyle w:val="1038"/>
        <w:ind w:firstLine="560"/>
        <w:keepLines w:val="0"/>
        <w:keepNext w:val="0"/>
        <w:pageBreakBefore w:val="0"/>
        <w:spacing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rFonts w:hint="eastAsia" w:ascii="仿宋" w:hAnsi="仿宋" w:eastAsia="仿宋" w:cs="仿宋"/>
          <w:color w:val="auto"/>
          <w:sz w:val="20"/>
          <w:highlight w:val="none"/>
        </w:rPr>
      </w:pPr>
      <w:r>
        <w:rPr>
          <w:rFonts w:hint="eastAsia" w:ascii="仿宋" w:hAnsi="仿宋" w:eastAsia="仿宋" w:cs="仿宋"/>
          <w:color w:val="auto"/>
          <w:sz w:val="20"/>
          <w:highlight w:val="none"/>
        </w:rPr>
        <w:t xml:space="preserve">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rPr>
          <w:rFonts w:hint="eastAsia" w:ascii="仿宋" w:hAnsi="仿宋" w:eastAsia="仿宋" w:cs="仿宋"/>
          <w:color w:val="auto"/>
          <w:sz w:val="32"/>
          <w:highlight w:val="none"/>
        </w:rPr>
      </w:pPr>
      <w:r>
        <w:rPr>
          <w:rFonts w:hint="eastAsia" w:ascii="仿宋" w:hAnsi="仿宋" w:eastAsia="仿宋" w:cs="仿宋"/>
          <w:color w:val="auto"/>
          <w:sz w:val="32"/>
          <w:highlight w:val="none"/>
        </w:rPr>
      </w:r>
      <w:bookmarkEnd w:id="207"/>
      <w:r/>
      <w:r/>
    </w:p>
    <w:p>
      <w:pPr>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spacing w:line="48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8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rPr>
      </w:r>
      <w:r/>
    </w:p>
    <w:p>
      <w:pPr>
        <w:pStyle w:val="925"/>
        <w:ind w:firstLine="0"/>
        <w:rPr>
          <w:rFonts w:hint="eastAsia" w:ascii="仿宋" w:hAnsi="仿宋" w:eastAsia="仿宋" w:cs="仿宋"/>
          <w:color w:val="auto"/>
          <w:sz w:val="24"/>
          <w:highlight w:val="none"/>
        </w:rPr>
      </w:pPr>
      <w:r/>
      <w:bookmarkStart w:id="213" w:name="_Hlt26955066"/>
      <w:r/>
      <w:bookmarkEnd w:id="213"/>
      <w:r/>
      <w:bookmarkStart w:id="214" w:name="_Hlt26609389"/>
      <w:r/>
      <w:bookmarkEnd w:id="214"/>
      <w:r/>
      <w:bookmarkStart w:id="215" w:name="_Hlt26671374"/>
      <w:r/>
      <w:bookmarkEnd w:id="215"/>
      <w:r/>
      <w:bookmarkStart w:id="216" w:name="_Toc462564146"/>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84"/>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84"/>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84"/>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84"/>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84"/>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bookmarkEnd w:id="197"/>
      <w:r/>
      <w:bookmarkEnd w:id="198"/>
      <w:r/>
      <w:bookmarkEnd w:id="216"/>
      <w:r/>
      <w:r/>
    </w:p>
    <w:p>
      <w:pPr>
        <w:pStyle w:val="984"/>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b/>
          <w:color w:val="auto"/>
          <w:sz w:val="32"/>
          <w:szCs w:val="32"/>
          <w:highlight w:val="none"/>
        </w:rPr>
      </w:pPr>
      <w:r/>
      <w:bookmarkStart w:id="217" w:name="_格式2__法定代表人授权书"/>
      <w:r/>
      <w:bookmarkEnd w:id="217"/>
      <w:r/>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 xml:space="preserve">质疑函范本</w:t>
      </w:r>
      <w:r/>
    </w:p>
    <w:p>
      <w:pPr>
        <w:ind w:firstLine="480"/>
        <w:keepLines w:val="0"/>
        <w:keepNext w:val="0"/>
        <w:pageBreakBefore w:val="0"/>
        <w:spacing w:before="290" w:line="5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一、质疑投标人基本信息</w:t>
      </w:r>
      <w:r/>
    </w:p>
    <w:p>
      <w:pPr>
        <w:ind w:firstLine="480"/>
        <w:keepLines w:val="0"/>
        <w:keepNext w:val="0"/>
        <w:pageBreakBefore w:val="0"/>
        <w:spacing w:line="5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质疑投标人：</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授权代表：</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二、质疑项目基本情况</w:t>
      </w:r>
      <w:r/>
    </w:p>
    <w:p>
      <w:pPr>
        <w:ind w:firstLine="480"/>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质疑项目的名称：</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包号：</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采购人名称：</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采购文件获取日期：</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三、质疑事项具体内容</w:t>
      </w:r>
      <w:r/>
    </w:p>
    <w:p>
      <w:pPr>
        <w:ind w:firstLine="480"/>
        <w:keepLines w:val="0"/>
        <w:keepNext w:val="0"/>
        <w:pageBreakBefore w:val="0"/>
        <w:spacing w:line="5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质疑事项1：</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事实依据：</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法律依据：</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质疑事项2</w:t>
      </w:r>
      <w:r/>
    </w:p>
    <w:p>
      <w:pPr>
        <w:ind w:firstLine="480"/>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四、与质疑事项相关的质疑请求</w:t>
      </w:r>
      <w:r/>
    </w:p>
    <w:p>
      <w:pPr>
        <w:ind w:firstLine="480"/>
        <w:keepLines w:val="0"/>
        <w:keepNext w:val="0"/>
        <w:pageBreakBefore w:val="0"/>
        <w:spacing w:line="5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请求：</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公章：                      </w:t>
      </w:r>
      <w:r/>
    </w:p>
    <w:p>
      <w:pPr>
        <w:ind w:firstLine="480"/>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w:t>
      </w:r>
      <w:r/>
    </w:p>
    <w:p>
      <w:pPr>
        <w:ind w:firstLine="482"/>
        <w:keepLines w:val="0"/>
        <w:keepNext w:val="0"/>
        <w:pageBreakBefore w:val="0"/>
        <w:spacing w:line="5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质疑函制作说明：</w:t>
      </w:r>
      <w:r/>
    </w:p>
    <w:p>
      <w:pPr>
        <w:ind w:firstLine="480"/>
        <w:jc w:val="left"/>
        <w:keepLines w:val="0"/>
        <w:keepNext w:val="0"/>
        <w:pageBreakBefore w:val="0"/>
        <w:spacing w:line="5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1.投标人提出质疑时，应提交质疑函和必要的证明材料。</w:t>
      </w:r>
      <w:r/>
    </w:p>
    <w:p>
      <w:pPr>
        <w:ind w:firstLine="480"/>
        <w:jc w:val="left"/>
        <w:keepLines w:val="0"/>
        <w:keepNext w:val="0"/>
        <w:pageBreakBefore w:val="0"/>
        <w:spacing w:line="5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keepLines w:val="0"/>
        <w:keepNext w:val="0"/>
        <w:pageBreakBefore w:val="0"/>
        <w:spacing w:line="5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3.质疑投标人若对项目的某一分包进行质疑，质疑函中应列明具体分包号。</w:t>
      </w:r>
      <w:r/>
    </w:p>
    <w:p>
      <w:pPr>
        <w:ind w:firstLine="480"/>
        <w:jc w:val="left"/>
        <w:keepLines w:val="0"/>
        <w:keepNext w:val="0"/>
        <w:pageBreakBefore w:val="0"/>
        <w:spacing w:line="5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4.质疑函的质疑事项应具体、明确，并有必要的事实依据和法律依据。</w:t>
      </w:r>
      <w:r/>
    </w:p>
    <w:p>
      <w:pPr>
        <w:ind w:firstLine="480"/>
        <w:jc w:val="left"/>
        <w:keepLines w:val="0"/>
        <w:keepNext w:val="0"/>
        <w:pageBreakBefore w:val="0"/>
        <w:spacing w:line="5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5.质疑函的质疑请求应与质疑事项相关。</w:t>
      </w:r>
      <w:r/>
    </w:p>
    <w:p>
      <w:pPr>
        <w:ind w:firstLine="480"/>
        <w:jc w:val="left"/>
        <w:keepLines w:val="0"/>
        <w:keepNext w:val="0"/>
        <w:pageBreakBefore w:val="0"/>
        <w:spacing w:line="5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925"/>
        <w:ind w:firstLine="480"/>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sectPr>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rPr>
        <w:rFonts w:hint="eastAsia" w:ascii="宋体" w:hAnsi="宋体"/>
        <w:b/>
        <w:i/>
        <w:sz w:val="24"/>
        <w:szCs w:val="24"/>
      </w:rPr>
    </w:pPr>
    <w:r>
      <w:rPr>
        <w:rFonts w:ascii="宋体" w:hAnsi="宋体"/>
        <w:b/>
        <w:i/>
        <w:sz w:val="28"/>
        <w:szCs w:val="24"/>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rPr>
        <w:rFonts w:hint="eastAsia" w:ascii="宋体" w:hAnsi="宋体"/>
        <w:b/>
        <w:i/>
        <w:sz w:val="24"/>
        <w:szCs w:val="24"/>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4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9"/>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rFonts w:ascii="宋体" w:hAnsi="宋体"/>
        <w:b/>
        <w:i/>
        <w:sz w:val="28"/>
        <w:szCs w:val="24"/>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4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9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2"/>
      <w:isLgl w:val="false"/>
      <w:suff w:val="nothing"/>
      <w:lvlText w:val=""/>
      <w:lvlJc w:val="left"/>
      <w:pPr>
        <w:ind w:left="0" w:firstLine="0"/>
      </w:pPr>
      <w:rPr>
        <w:rFonts w:hint="eastAsia"/>
      </w:rPr>
    </w:lvl>
    <w:lvl w:ilvl="6">
      <w:start w:val="1"/>
      <w:numFmt w:val="decimal"/>
      <w:pStyle w:val="934"/>
      <w:isLgl w:val="false"/>
      <w:suff w:val="nothing"/>
      <w:lvlText w:val=""/>
      <w:lvlJc w:val="left"/>
      <w:pPr>
        <w:ind w:left="0" w:firstLine="0"/>
      </w:pPr>
      <w:rPr>
        <w:rFonts w:hint="eastAsia"/>
      </w:rPr>
    </w:lvl>
    <w:lvl w:ilvl="7">
      <w:start w:val="1"/>
      <w:numFmt w:val="decimal"/>
      <w:pStyle w:val="936"/>
      <w:isLgl w:val="false"/>
      <w:suff w:val="nothing"/>
      <w:lvlText w:val=""/>
      <w:lvlJc w:val="left"/>
      <w:pPr>
        <w:ind w:left="0" w:firstLine="0"/>
      </w:pPr>
      <w:rPr>
        <w:rFonts w:hint="eastAsia"/>
      </w:rPr>
    </w:lvl>
    <w:lvl w:ilvl="8">
      <w:start w:val="1"/>
      <w:numFmt w:val="decimal"/>
      <w:pStyle w:val="938"/>
      <w:isLgl w:val="false"/>
      <w:suff w:val="nothing"/>
      <w:lvlText w:val=""/>
      <w:lvlJc w:val="left"/>
      <w:pPr>
        <w:ind w:left="0" w:firstLine="0"/>
      </w:pPr>
      <w:rPr>
        <w:rFonts w:hint="eastAsia"/>
      </w:rPr>
    </w:lvl>
  </w:abstractNum>
  <w:abstractNum w:abstractNumId="2">
    <w:multiLevelType w:val="hybridMultilevel"/>
    <w:lvl w:ilvl="0">
      <w:start w:val="1"/>
      <w:numFmt w:val="decimal"/>
      <w:pStyle w:val="78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0">
    <w:name w:val="Heading 1"/>
    <w:basedOn w:val="729"/>
    <w:next w:val="729"/>
    <w:link w:val="765"/>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29"/>
    <w:link w:val="766"/>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link w:val="767"/>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link w:val="768"/>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769"/>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link w:val="770"/>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772"/>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773"/>
    <w:uiPriority w:val="9"/>
    <w:unhideWhenUsed/>
    <w:qFormat/>
    <w:pPr>
      <w:keepLines/>
      <w:keepNext/>
      <w:spacing w:before="320" w:after="200"/>
      <w:outlineLvl w:val="8"/>
    </w:pPr>
    <w:rPr>
      <w:rFonts w:ascii="Arial" w:hAnsi="Arial" w:eastAsia="Arial" w:cs="Arial"/>
      <w:i/>
      <w:iCs/>
      <w:sz w:val="21"/>
      <w:szCs w:val="21"/>
    </w:rPr>
  </w:style>
  <w:style w:type="character" w:styleId="739" w:default="1">
    <w:name w:val="Default Paragraph Font"/>
    <w:uiPriority w:val="1"/>
    <w:unhideWhenUsed/>
    <w:qFormat/>
  </w:style>
  <w:style w:type="table" w:styleId="740" w:default="1">
    <w:name w:val="Normal Table"/>
    <w:uiPriority w:val="99"/>
    <w:unhideWhenUsed/>
    <w:qFormat/>
    <w:tblPr>
      <w:tblCellMar>
        <w:left w:w="108" w:type="dxa"/>
        <w:top w:w="0" w:type="dxa"/>
        <w:right w:w="108" w:type="dxa"/>
        <w:bottom w:w="0" w:type="dxa"/>
      </w:tblCellMar>
    </w:tblPr>
  </w:style>
  <w:style w:type="paragraph" w:styleId="741">
    <w:name w:val="toc 7"/>
    <w:basedOn w:val="729"/>
    <w:next w:val="729"/>
    <w:uiPriority w:val="0"/>
    <w:semiHidden/>
    <w:qFormat/>
    <w:pPr>
      <w:ind w:left="1260"/>
      <w:jc w:val="left"/>
    </w:pPr>
  </w:style>
  <w:style w:type="paragraph" w:styleId="742">
    <w:name w:val="Caption"/>
    <w:basedOn w:val="729"/>
    <w:next w:val="729"/>
    <w:uiPriority w:val="35"/>
    <w:unhideWhenUsed/>
    <w:qFormat/>
    <w:pPr>
      <w:spacing w:line="276" w:lineRule="auto"/>
    </w:pPr>
    <w:rPr>
      <w:b/>
      <w:bCs/>
      <w:color w:val="4f81bd"/>
      <w:sz w:val="18"/>
      <w:szCs w:val="18"/>
    </w:rPr>
  </w:style>
  <w:style w:type="paragraph" w:styleId="743">
    <w:name w:val="Body Text"/>
    <w:basedOn w:val="729"/>
    <w:next w:val="729"/>
    <w:uiPriority w:val="0"/>
    <w:qFormat/>
  </w:style>
  <w:style w:type="paragraph" w:styleId="744">
    <w:name w:val="toc 5"/>
    <w:basedOn w:val="729"/>
    <w:next w:val="729"/>
    <w:uiPriority w:val="0"/>
    <w:semiHidden/>
    <w:qFormat/>
    <w:pPr>
      <w:ind w:left="840"/>
      <w:jc w:val="left"/>
    </w:pPr>
  </w:style>
  <w:style w:type="paragraph" w:styleId="745">
    <w:name w:val="toc 3"/>
    <w:basedOn w:val="729"/>
    <w:next w:val="729"/>
    <w:uiPriority w:val="0"/>
    <w:semiHidden/>
    <w:qFormat/>
    <w:pPr>
      <w:ind w:left="420"/>
      <w:jc w:val="left"/>
    </w:pPr>
    <w:rPr>
      <w:i/>
      <w:iCs/>
      <w:szCs w:val="24"/>
    </w:rPr>
  </w:style>
  <w:style w:type="paragraph" w:styleId="746">
    <w:name w:val="Plain Text"/>
    <w:uiPriority w:val="0"/>
    <w:qFormat/>
    <w:pPr>
      <w:jc w:val="both"/>
      <w:widowControl w:val="off"/>
    </w:pPr>
    <w:rPr>
      <w:rFonts w:hint="default" w:ascii="宋体" w:hAnsi="Courier New" w:eastAsia="宋体" w:cs="Courier New"/>
      <w:sz w:val="21"/>
      <w:szCs w:val="21"/>
      <w:lang w:val="en-US" w:eastAsia="zh-CN" w:bidi="ar-SA"/>
    </w:rPr>
  </w:style>
  <w:style w:type="paragraph" w:styleId="747">
    <w:name w:val="toc 8"/>
    <w:basedOn w:val="729"/>
    <w:next w:val="729"/>
    <w:uiPriority w:val="0"/>
    <w:semiHidden/>
    <w:qFormat/>
    <w:pPr>
      <w:ind w:left="1470"/>
      <w:jc w:val="left"/>
    </w:pPr>
  </w:style>
  <w:style w:type="paragraph" w:styleId="748">
    <w:name w:val="endnote text"/>
    <w:basedOn w:val="729"/>
    <w:link w:val="774"/>
    <w:uiPriority w:val="99"/>
    <w:unhideWhenUsed/>
    <w:qFormat/>
    <w:pPr>
      <w:spacing w:after="0" w:line="240" w:lineRule="auto"/>
    </w:pPr>
    <w:rPr>
      <w:sz w:val="20"/>
    </w:rPr>
  </w:style>
  <w:style w:type="paragraph" w:styleId="749">
    <w:name w:val="Footer"/>
    <w:basedOn w:val="729"/>
    <w:link w:val="780"/>
    <w:uiPriority w:val="99"/>
    <w:unhideWhenUsed/>
    <w:qFormat/>
    <w:pPr>
      <w:spacing w:after="0" w:line="240" w:lineRule="auto"/>
      <w:tabs>
        <w:tab w:val="center" w:pos="7143" w:leader="none"/>
        <w:tab w:val="right" w:pos="14287" w:leader="none"/>
      </w:tabs>
    </w:pPr>
  </w:style>
  <w:style w:type="paragraph" w:styleId="750">
    <w:name w:val="Header"/>
    <w:basedOn w:val="729"/>
    <w:link w:val="776"/>
    <w:uiPriority w:val="99"/>
    <w:unhideWhenUsed/>
    <w:qFormat/>
    <w:pPr>
      <w:spacing w:after="0" w:line="240" w:lineRule="auto"/>
      <w:tabs>
        <w:tab w:val="center" w:pos="7143" w:leader="none"/>
        <w:tab w:val="right" w:pos="14287" w:leader="none"/>
      </w:tabs>
    </w:pPr>
  </w:style>
  <w:style w:type="paragraph" w:styleId="751">
    <w:name w:val="toc 1"/>
    <w:basedOn w:val="729"/>
    <w:next w:val="729"/>
    <w:uiPriority w:val="0"/>
    <w:semiHidden/>
    <w:qFormat/>
    <w:pPr>
      <w:jc w:val="left"/>
      <w:spacing w:before="120" w:after="120" w:line="400" w:lineRule="exact"/>
      <w:tabs>
        <w:tab w:val="right" w:pos="8720" w:leader="dot"/>
      </w:tabs>
    </w:pPr>
    <w:rPr>
      <w:rFonts w:ascii="宋体" w:hAnsi="宋体"/>
      <w:caps/>
      <w:sz w:val="24"/>
      <w:szCs w:val="24"/>
    </w:rPr>
  </w:style>
  <w:style w:type="paragraph" w:styleId="752">
    <w:name w:val="toc 4"/>
    <w:basedOn w:val="729"/>
    <w:next w:val="729"/>
    <w:uiPriority w:val="0"/>
    <w:semiHidden/>
    <w:qFormat/>
    <w:pPr>
      <w:ind w:left="630"/>
      <w:jc w:val="left"/>
    </w:pPr>
  </w:style>
  <w:style w:type="paragraph" w:styleId="753">
    <w:name w:val="Subtitle"/>
    <w:basedOn w:val="729"/>
    <w:next w:val="729"/>
    <w:link w:val="777"/>
    <w:uiPriority w:val="11"/>
    <w:qFormat/>
    <w:pPr>
      <w:spacing w:before="200" w:after="200"/>
    </w:pPr>
    <w:rPr>
      <w:sz w:val="24"/>
      <w:szCs w:val="24"/>
    </w:rPr>
  </w:style>
  <w:style w:type="paragraph" w:styleId="754">
    <w:name w:val="footnote text"/>
    <w:basedOn w:val="729"/>
    <w:link w:val="778"/>
    <w:uiPriority w:val="99"/>
    <w:unhideWhenUsed/>
    <w:qFormat/>
    <w:pPr>
      <w:spacing w:after="40" w:line="240" w:lineRule="auto"/>
    </w:pPr>
    <w:rPr>
      <w:sz w:val="18"/>
    </w:rPr>
  </w:style>
  <w:style w:type="paragraph" w:styleId="755">
    <w:name w:val="toc 6"/>
    <w:basedOn w:val="729"/>
    <w:next w:val="729"/>
    <w:uiPriority w:val="0"/>
    <w:semiHidden/>
    <w:qFormat/>
    <w:pPr>
      <w:ind w:left="1050"/>
      <w:jc w:val="left"/>
    </w:pPr>
  </w:style>
  <w:style w:type="paragraph" w:styleId="756">
    <w:name w:val="table of figures"/>
    <w:basedOn w:val="729"/>
    <w:next w:val="729"/>
    <w:uiPriority w:val="99"/>
    <w:unhideWhenUsed/>
    <w:qFormat/>
    <w:pPr>
      <w:spacing w:after="0" w:afterAutospacing="0"/>
    </w:pPr>
  </w:style>
  <w:style w:type="paragraph" w:styleId="757">
    <w:name w:val="toc 2"/>
    <w:basedOn w:val="729"/>
    <w:next w:val="729"/>
    <w:uiPriority w:val="0"/>
    <w:semiHidden/>
    <w:qFormat/>
    <w:pPr>
      <w:ind w:left="210"/>
      <w:jc w:val="left"/>
    </w:pPr>
    <w:rPr>
      <w:smallCaps/>
      <w:szCs w:val="24"/>
    </w:rPr>
  </w:style>
  <w:style w:type="paragraph" w:styleId="758">
    <w:name w:val="toc 9"/>
    <w:basedOn w:val="729"/>
    <w:next w:val="729"/>
    <w:uiPriority w:val="0"/>
    <w:semiHidden/>
    <w:qFormat/>
    <w:pPr>
      <w:ind w:left="1680"/>
      <w:jc w:val="left"/>
    </w:pPr>
  </w:style>
  <w:style w:type="paragraph" w:styleId="759">
    <w:name w:val="Body Text 2"/>
    <w:uiPriority w:val="0"/>
    <w:qFormat/>
    <w:pPr>
      <w:jc w:val="both"/>
      <w:widowControl w:val="off"/>
    </w:pPr>
    <w:rPr>
      <w:rFonts w:ascii="宋体" w:hAnsi="宋体" w:eastAsia="宋体" w:cs="Times New Roman"/>
      <w:b/>
      <w:bCs/>
      <w:sz w:val="28"/>
      <w:szCs w:val="24"/>
      <w:lang w:val="en-US" w:eastAsia="zh-CN" w:bidi="ar-SA"/>
    </w:rPr>
  </w:style>
  <w:style w:type="paragraph" w:styleId="760">
    <w:name w:val="Title"/>
    <w:basedOn w:val="729"/>
    <w:next w:val="729"/>
    <w:link w:val="779"/>
    <w:uiPriority w:val="10"/>
    <w:qFormat/>
    <w:pPr>
      <w:contextualSpacing/>
      <w:spacing w:before="300" w:after="200"/>
    </w:pPr>
    <w:rPr>
      <w:sz w:val="48"/>
      <w:szCs w:val="48"/>
    </w:rPr>
  </w:style>
  <w:style w:type="table" w:styleId="76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endnote reference"/>
    <w:uiPriority w:val="99"/>
    <w:unhideWhenUsed/>
    <w:qFormat/>
    <w:rPr>
      <w:vertAlign w:val="superscript"/>
    </w:rPr>
  </w:style>
  <w:style w:type="character" w:styleId="763">
    <w:name w:val="Hyperlink"/>
    <w:uiPriority w:val="99"/>
    <w:unhideWhenUsed/>
    <w:qFormat/>
    <w:rPr>
      <w:color w:val="0000ff"/>
      <w:u w:val="single"/>
    </w:rPr>
  </w:style>
  <w:style w:type="character" w:styleId="764">
    <w:name w:val="footnote reference"/>
    <w:uiPriority w:val="99"/>
    <w:unhideWhenUsed/>
    <w:qFormat/>
    <w:rPr>
      <w:vertAlign w:val="superscript"/>
    </w:rPr>
  </w:style>
  <w:style w:type="character" w:styleId="765" w:customStyle="1">
    <w:name w:val="Heading 1 Char"/>
    <w:link w:val="730"/>
    <w:uiPriority w:val="9"/>
    <w:qFormat/>
    <w:rPr>
      <w:rFonts w:ascii="Arial" w:hAnsi="Arial" w:eastAsia="Arial" w:cs="Arial"/>
      <w:sz w:val="40"/>
      <w:szCs w:val="40"/>
    </w:rPr>
  </w:style>
  <w:style w:type="character" w:styleId="766" w:customStyle="1">
    <w:name w:val="Heading 2 Char"/>
    <w:link w:val="731"/>
    <w:uiPriority w:val="9"/>
    <w:qFormat/>
    <w:rPr>
      <w:rFonts w:ascii="Arial" w:hAnsi="Arial" w:eastAsia="Arial" w:cs="Arial"/>
      <w:sz w:val="34"/>
    </w:rPr>
  </w:style>
  <w:style w:type="character" w:styleId="767" w:customStyle="1">
    <w:name w:val="Heading 3 Char"/>
    <w:link w:val="732"/>
    <w:uiPriority w:val="9"/>
    <w:qFormat/>
    <w:rPr>
      <w:rFonts w:ascii="Arial" w:hAnsi="Arial" w:eastAsia="Arial" w:cs="Arial"/>
      <w:sz w:val="30"/>
      <w:szCs w:val="30"/>
    </w:rPr>
  </w:style>
  <w:style w:type="character" w:styleId="768" w:customStyle="1">
    <w:name w:val="Heading 4 Char"/>
    <w:link w:val="733"/>
    <w:uiPriority w:val="9"/>
    <w:qFormat/>
    <w:rPr>
      <w:rFonts w:ascii="Arial" w:hAnsi="Arial" w:eastAsia="Arial" w:cs="Arial"/>
      <w:b/>
      <w:bCs/>
      <w:sz w:val="26"/>
      <w:szCs w:val="26"/>
    </w:rPr>
  </w:style>
  <w:style w:type="character" w:styleId="769" w:customStyle="1">
    <w:name w:val="Heading 5 Char"/>
    <w:link w:val="734"/>
    <w:uiPriority w:val="9"/>
    <w:qFormat/>
    <w:rPr>
      <w:rFonts w:ascii="Arial" w:hAnsi="Arial" w:eastAsia="Arial" w:cs="Arial"/>
      <w:b/>
      <w:bCs/>
      <w:sz w:val="24"/>
      <w:szCs w:val="24"/>
    </w:rPr>
  </w:style>
  <w:style w:type="character" w:styleId="770" w:customStyle="1">
    <w:name w:val="Heading 6 Char"/>
    <w:link w:val="735"/>
    <w:uiPriority w:val="9"/>
    <w:qFormat/>
    <w:rPr>
      <w:rFonts w:ascii="Arial" w:hAnsi="Arial" w:eastAsia="Arial" w:cs="Arial"/>
      <w:b/>
      <w:bCs/>
      <w:sz w:val="22"/>
      <w:szCs w:val="22"/>
    </w:rPr>
  </w:style>
  <w:style w:type="character" w:styleId="771" w:customStyle="1">
    <w:name w:val="Heading 7 Char"/>
    <w:link w:val="736"/>
    <w:uiPriority w:val="9"/>
    <w:qFormat/>
    <w:rPr>
      <w:rFonts w:ascii="Arial" w:hAnsi="Arial" w:eastAsia="Arial" w:cs="Arial"/>
      <w:b/>
      <w:bCs/>
      <w:i/>
      <w:iCs/>
      <w:sz w:val="22"/>
      <w:szCs w:val="22"/>
    </w:rPr>
  </w:style>
  <w:style w:type="character" w:styleId="772" w:customStyle="1">
    <w:name w:val="Heading 8 Char"/>
    <w:link w:val="737"/>
    <w:uiPriority w:val="9"/>
    <w:qFormat/>
    <w:rPr>
      <w:rFonts w:ascii="Arial" w:hAnsi="Arial" w:eastAsia="Arial" w:cs="Arial"/>
      <w:i/>
      <w:iCs/>
      <w:sz w:val="22"/>
      <w:szCs w:val="22"/>
    </w:rPr>
  </w:style>
  <w:style w:type="character" w:styleId="773" w:customStyle="1">
    <w:name w:val="Heading 9 Char"/>
    <w:link w:val="738"/>
    <w:uiPriority w:val="9"/>
    <w:qFormat/>
    <w:rPr>
      <w:rFonts w:ascii="Arial" w:hAnsi="Arial" w:eastAsia="Arial" w:cs="Arial"/>
      <w:i/>
      <w:iCs/>
      <w:sz w:val="21"/>
      <w:szCs w:val="21"/>
    </w:rPr>
  </w:style>
  <w:style w:type="character" w:styleId="774" w:customStyle="1">
    <w:name w:val="Endnote Text Char"/>
    <w:link w:val="748"/>
    <w:uiPriority w:val="99"/>
    <w:qFormat/>
    <w:rPr>
      <w:sz w:val="20"/>
    </w:rPr>
  </w:style>
  <w:style w:type="character" w:styleId="775" w:customStyle="1">
    <w:name w:val="Caption Char"/>
    <w:link w:val="749"/>
    <w:uiPriority w:val="99"/>
    <w:qFormat/>
  </w:style>
  <w:style w:type="character" w:styleId="776" w:customStyle="1">
    <w:name w:val="Header Char"/>
    <w:link w:val="750"/>
    <w:uiPriority w:val="99"/>
    <w:qFormat/>
  </w:style>
  <w:style w:type="character" w:styleId="777" w:customStyle="1">
    <w:name w:val="Subtitle Char"/>
    <w:link w:val="753"/>
    <w:uiPriority w:val="11"/>
    <w:qFormat/>
    <w:rPr>
      <w:sz w:val="24"/>
      <w:szCs w:val="24"/>
    </w:rPr>
  </w:style>
  <w:style w:type="character" w:styleId="778" w:customStyle="1">
    <w:name w:val="Footnote Text Char"/>
    <w:link w:val="754"/>
    <w:uiPriority w:val="99"/>
    <w:qFormat/>
    <w:rPr>
      <w:sz w:val="18"/>
    </w:rPr>
  </w:style>
  <w:style w:type="character" w:styleId="779" w:customStyle="1">
    <w:name w:val="Title Char"/>
    <w:link w:val="760"/>
    <w:uiPriority w:val="10"/>
    <w:qFormat/>
    <w:rPr>
      <w:sz w:val="48"/>
      <w:szCs w:val="48"/>
    </w:rPr>
  </w:style>
  <w:style w:type="character" w:styleId="780" w:customStyle="1">
    <w:name w:val="Footer Char"/>
    <w:link w:val="749"/>
    <w:uiPriority w:val="99"/>
    <w:qFormat/>
  </w:style>
  <w:style w:type="character" w:styleId="781" w:customStyle="1">
    <w:name w:val="10_0"/>
    <w:uiPriority w:val="0"/>
    <w:qFormat/>
    <w:rPr>
      <w:rFonts w:ascii="Times New Roman" w:hAnsi="Times New Roman" w:cs="Times New Roman"/>
    </w:rPr>
  </w:style>
  <w:style w:type="paragraph" w:styleId="782" w:customStyle="1">
    <w:name w:val="样式1"/>
    <w:basedOn w:val="729"/>
    <w:uiPriority w:val="0"/>
    <w:qFormat/>
    <w:pPr>
      <w:numPr>
        <w:ilvl w:val="0"/>
        <w:numId w:val="1"/>
      </w:numPr>
    </w:pPr>
    <w:rPr>
      <w:rFonts w:ascii="宋体" w:hAnsi="宋体"/>
    </w:rPr>
  </w:style>
  <w:style w:type="paragraph" w:styleId="783" w:customStyle="1">
    <w:name w:val="正文首行缩进 21"/>
    <w:basedOn w:val="784"/>
    <w:next w:val="729"/>
    <w:uiPriority w:val="0"/>
    <w:qFormat/>
    <w:pPr>
      <w:ind w:firstLine="420"/>
      <w:spacing w:line="360" w:lineRule="auto"/>
    </w:pPr>
    <w:rPr>
      <w:rFonts w:ascii="宋体" w:hAnsi="宋体" w:eastAsia="宋体"/>
      <w:sz w:val="21"/>
      <w:szCs w:val="20"/>
    </w:rPr>
  </w:style>
  <w:style w:type="paragraph" w:styleId="784" w:customStyle="1">
    <w:name w:val="正文文本缩进1"/>
    <w:basedOn w:val="729"/>
    <w:next w:val="785"/>
    <w:link w:val="786"/>
    <w:uiPriority w:val="0"/>
    <w:qFormat/>
    <w:pPr>
      <w:ind w:firstLine="645"/>
    </w:pPr>
    <w:rPr>
      <w:rFonts w:ascii="楷体_GB2312" w:eastAsia="楷体_GB2312"/>
      <w:sz w:val="32"/>
      <w:szCs w:val="32"/>
    </w:rPr>
  </w:style>
  <w:style w:type="paragraph" w:styleId="785" w:customStyle="1">
    <w:name w:val="寄信人地址1"/>
    <w:basedOn w:val="729"/>
    <w:uiPriority w:val="0"/>
    <w:qFormat/>
    <w:rPr>
      <w:rFonts w:ascii="Arial" w:hAnsi="Arial"/>
    </w:rPr>
  </w:style>
  <w:style w:type="character" w:styleId="786" w:customStyle="1">
    <w:name w:val="正文文本缩进 字符"/>
    <w:link w:val="784"/>
    <w:uiPriority w:val="0"/>
    <w:qFormat/>
    <w:rPr>
      <w:rFonts w:ascii="楷体_GB2312" w:hAnsi="Times New Roman" w:eastAsia="楷体_GB2312" w:cs="Times New Roman"/>
      <w:sz w:val="32"/>
      <w:szCs w:val="32"/>
    </w:rPr>
  </w:style>
  <w:style w:type="paragraph" w:styleId="787" w:customStyle="1">
    <w:name w:val="正文首行缩进1"/>
    <w:uiPriority w:val="0"/>
    <w:qFormat/>
    <w:pPr>
      <w:ind w:firstLine="200"/>
      <w:jc w:val="both"/>
      <w:spacing w:line="360" w:lineRule="auto"/>
      <w:widowControl w:val="off"/>
    </w:pPr>
    <w:rPr>
      <w:rFonts w:hint="default" w:ascii="仿宋_GB2312" w:hAnsi="Times New Roman" w:eastAsia="仿宋_GB2312" w:cs="Times New Roman"/>
      <w:sz w:val="30"/>
      <w:szCs w:val="30"/>
      <w:lang w:val="en-US" w:eastAsia="zh-CN" w:bidi="ar-SA"/>
    </w:rPr>
  </w:style>
  <w:style w:type="paragraph" w:styleId="788">
    <w:name w:val="List Paragraph"/>
    <w:basedOn w:val="729"/>
    <w:uiPriority w:val="34"/>
    <w:qFormat/>
    <w:pPr>
      <w:contextualSpacing/>
      <w:ind w:left="720"/>
    </w:pPr>
  </w:style>
  <w:style w:type="paragraph" w:styleId="789">
    <w:name w:val="No Spacing"/>
    <w:uiPriority w:val="1"/>
    <w:qFormat/>
    <w:pPr>
      <w:spacing w:before="0" w:after="0" w:line="240" w:lineRule="auto"/>
    </w:pPr>
    <w:rPr>
      <w:rFonts w:hint="default" w:ascii="Times New Roman" w:hAnsi="Times New Roman" w:eastAsia="宋体" w:cs="Times New Roman"/>
    </w:rPr>
  </w:style>
  <w:style w:type="paragraph" w:styleId="790">
    <w:name w:val="Quote"/>
    <w:basedOn w:val="729"/>
    <w:next w:val="729"/>
    <w:link w:val="791"/>
    <w:uiPriority w:val="29"/>
    <w:qFormat/>
    <w:pPr>
      <w:ind w:left="720" w:right="720"/>
    </w:pPr>
    <w:rPr>
      <w:i/>
    </w:rPr>
  </w:style>
  <w:style w:type="character" w:styleId="791" w:customStyle="1">
    <w:name w:val="Quote Char"/>
    <w:link w:val="790"/>
    <w:uiPriority w:val="29"/>
    <w:qFormat/>
    <w:rPr>
      <w:i/>
    </w:rPr>
  </w:style>
  <w:style w:type="paragraph" w:styleId="792">
    <w:name w:val="Intense Quote"/>
    <w:basedOn w:val="729"/>
    <w:next w:val="729"/>
    <w:link w:val="7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Intense Quote Char"/>
    <w:link w:val="792"/>
    <w:uiPriority w:val="30"/>
    <w:qFormat/>
    <w:rPr>
      <w:i/>
    </w:rPr>
  </w:style>
  <w:style w:type="table" w:styleId="794" w:customStyle="1">
    <w:name w:val="Table Grid Light"/>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95" w:customStyle="1">
    <w:name w:val="Plain Table 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98" w:customStyle="1">
    <w:name w:val="Plain Table 4"/>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Plain Table 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0" w:customStyle="1">
    <w:name w:val="Grid Table 1 Light"/>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1" w:customStyle="1">
    <w:name w:val="Grid Table 1 Light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2" w:customStyle="1">
    <w:name w:val="Grid Table 1 Light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3" w:customStyle="1">
    <w:name w:val="Grid Table 1 Light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4" w:customStyle="1">
    <w:name w:val="Grid Table 1 Light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5" w:customStyle="1">
    <w:name w:val="Grid Table 1 Light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6" w:customStyle="1">
    <w:name w:val="Grid Table 1 Light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7" w:customStyle="1">
    <w:name w:val="Grid Table 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8" w:customStyle="1">
    <w:name w:val="Grid Table 2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9" w:customStyle="1">
    <w:name w:val="Grid Table 2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0" w:customStyle="1">
    <w:name w:val="Grid Table 2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1" w:customStyle="1">
    <w:name w:val="Grid Table 2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Grid Table 2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3" w:customStyle="1">
    <w:name w:val="Grid Table 2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Grid Table 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5" w:customStyle="1">
    <w:name w:val="Grid Table 3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6" w:customStyle="1">
    <w:name w:val="Grid Table 3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7" w:customStyle="1">
    <w:name w:val="Grid Table 3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8" w:customStyle="1">
    <w:name w:val="Grid Table 3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9" w:customStyle="1">
    <w:name w:val="Grid Table 3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0" w:customStyle="1">
    <w:name w:val="Grid Table 3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1" w:customStyle="1">
    <w:name w:val="Grid Table 4"/>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2" w:customStyle="1">
    <w:name w:val="Grid Table 4 - Accent 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3" w:customStyle="1">
    <w:name w:val="Grid Table 4 - Accent 2"/>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4" w:customStyle="1">
    <w:name w:val="Grid Table 4 - Accent 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5" w:customStyle="1">
    <w:name w:val="Grid Table 4 - Accent 4"/>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6" w:customStyle="1">
    <w:name w:val="Grid Table 4 - Accent 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7" w:customStyle="1">
    <w:name w:val="Grid Table 4 - Accent 6"/>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8" w:customStyle="1">
    <w:name w:val="Grid Table 5 Dark"/>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9" w:customStyle="1">
    <w:name w:val="Grid Table 5 Dark- Accent 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0" w:customStyle="1">
    <w:name w:val="Grid Table 5 Dark - Accent 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1" w:customStyle="1">
    <w:name w:val="Grid Table 5 Dark - Accent 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2" w:customStyle="1">
    <w:name w:val="Grid Table 5 Dark- Accent 4"/>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3" w:customStyle="1">
    <w:name w:val="Grid Table 5 Dark - Accent 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4" w:customStyle="1">
    <w:name w:val="Grid Table 5 Dark - Accent 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5" w:customStyle="1">
    <w:name w:val="Grid Table 6 Colorful"/>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36" w:customStyle="1">
    <w:name w:val="Grid Table 6 Colorful - Accent 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837" w:customStyle="1">
    <w:name w:val="Grid Table 6 Colorful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blStylePr>
  </w:style>
  <w:style w:type="table" w:styleId="838" w:customStyle="1">
    <w:name w:val="Grid Table 6 Colorful - Accent 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aba58"/>
        <w:sz w:val="22"/>
      </w:rPr>
      <w:tcPr>
        <w:shd w:val="clear" w:color="eaf1dd" w:fill="eaf1dd"/>
      </w:tcPr>
    </w:tblStylePr>
    <w:tblStylePr w:type="band1Vert">
      <w:tcPr>
        <w:shd w:val="clear" w:color="eaf1dd" w:fill="eaf1dd"/>
      </w:tcPr>
    </w:tblStylePr>
    <w:tblStylePr w:type="band2Horz">
      <w:rPr>
        <w:rFonts w:ascii="Arial" w:hAnsi="Arial"/>
        <w:color w:val="9aba58"/>
        <w:sz w:val="22"/>
      </w:rPr>
    </w:tblStylePr>
    <w:tblStylePr w:type="firstCol">
      <w:rPr>
        <w:b/>
        <w:color w:val="9aba58"/>
      </w:rPr>
    </w:tblStylePr>
    <w:tblStylePr w:type="firstRow">
      <w:rPr>
        <w:b/>
        <w:color w:val="9aba58"/>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aba58"/>
      </w:rPr>
    </w:tblStylePr>
    <w:tblStylePr w:type="lastRow">
      <w:rPr>
        <w:b/>
        <w:color w:val="9aba58"/>
      </w:rPr>
    </w:tblStylePr>
  </w:style>
  <w:style w:type="table" w:styleId="839" w:customStyle="1">
    <w:name w:val="Grid Table 6 Colorful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blStylePr>
  </w:style>
  <w:style w:type="table" w:styleId="840" w:customStyle="1">
    <w:name w:val="Grid Table 6 Colorful - Accent 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41" w:customStyle="1">
    <w:name w:val="Grid Table 6 Colorful - Accent 6"/>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42" w:customStyle="1">
    <w:name w:val="Grid Table 7 Colorful"/>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Grid Table 7 Colorful - Accent 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Grid Table 7 Colorful - Accent 2"/>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Grid Table 7 Colorful - Accent 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aba58"/>
        <w:sz w:val="22"/>
      </w:rPr>
      <w:tcPr>
        <w:shd w:val="clear" w:color="eaf1dd" w:fill="eaf1dd"/>
      </w:tcPr>
    </w:tblStylePr>
    <w:tblStylePr w:type="band1Vert">
      <w:tcPr>
        <w:shd w:val="clear" w:color="eaf1dd" w:fill="eaf1dd"/>
      </w:tcPr>
    </w:tblStylePr>
    <w:tblStylePr w:type="band2Horz">
      <w:rPr>
        <w:rFonts w:ascii="Arial" w:hAnsi="Arial"/>
        <w:color w:val="9aba58"/>
        <w:sz w:val="22"/>
      </w:rPr>
    </w:tblStylePr>
    <w:tblStylePr w:type="firstCol">
      <w:rPr>
        <w:rFonts w:ascii="Arial" w:hAnsi="Arial"/>
        <w:i/>
        <w:color w:val="9aba58"/>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aba58"/>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aba58"/>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aba58"/>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customStyle="1">
    <w:name w:val="Grid Table 7 Colorful - Accent 4"/>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Grid Table 7 Colorful - Accent 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8" w:customStyle="1">
    <w:name w:val="Grid Table 7 Colorful - Accent 6"/>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9" w:customStyle="1">
    <w:name w:val="List Table 1 Light"/>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0" w:customStyle="1">
    <w:name w:val="List Table 1 Light - Accent 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1" w:customStyle="1">
    <w:name w:val="List Table 1 Light - Accent 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2" w:customStyle="1">
    <w:name w:val="List Table 1 Light - Accent 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3" w:customStyle="1">
    <w:name w:val="List Table 1 Light - Accent 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4" w:customStyle="1">
    <w:name w:val="List Table 1 Light - Accent 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5" w:customStyle="1">
    <w:name w:val="List Table 1 Light - Accent 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List Table 2"/>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57" w:customStyle="1">
    <w:name w:val="List Table 2 - Accent 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858" w:customStyle="1">
    <w:name w:val="List Table 2 - Accent 2"/>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859" w:customStyle="1">
    <w:name w:val="List Table 2 - Accent 3"/>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860" w:customStyle="1">
    <w:name w:val="List Table 2 - Accent 4"/>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861" w:customStyle="1">
    <w:name w:val="List Table 2 - Accent 5"/>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862" w:customStyle="1">
    <w:name w:val="List Table 2 - Accent 6"/>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863" w:customStyle="1">
    <w:name w:val="List Table 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4" w:customStyle="1">
    <w:name w:val="List Table 3 - Accent 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65" w:customStyle="1">
    <w:name w:val="List Table 3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66" w:customStyle="1">
    <w:name w:val="List Table 3 - Accent 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67" w:customStyle="1">
    <w:name w:val="List Table 3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68" w:customStyle="1">
    <w:name w:val="List Table 3 - Accent 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69" w:customStyle="1">
    <w:name w:val="List Table 3 - Accent 6"/>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70" w:customStyle="1">
    <w:name w:val="List Table 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1" w:customStyle="1">
    <w:name w:val="List Table 4 - Accent 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72" w:customStyle="1">
    <w:name w:val="List Table 4 - Accent 2"/>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73" w:customStyle="1">
    <w:name w:val="List Table 4 - Accent 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74" w:customStyle="1">
    <w:name w:val="List Table 4 - Accent 4"/>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75" w:customStyle="1">
    <w:name w:val="List Table 4 - Accent 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76" w:customStyle="1">
    <w:name w:val="List Table 4 - Accent 6"/>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77" w:customStyle="1">
    <w:name w:val="List Table 5 Dark"/>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878" w:customStyle="1">
    <w:name w:val="List Table 5 Dark - Accent 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879" w:customStyle="1">
    <w:name w:val="List Table 5 Dark - Accent 2"/>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880" w:customStyle="1">
    <w:name w:val="List Table 5 Dark - Accent 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881" w:customStyle="1">
    <w:name w:val="List Table 5 Dark - Accent 4"/>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882" w:customStyle="1">
    <w:name w:val="List Table 5 Dark - Accent 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883" w:customStyle="1">
    <w:name w:val="List Table 5 Dark - Accent 6"/>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884" w:customStyle="1">
    <w:name w:val="List Table 6 Colorful"/>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List Table 6 Colorful - Accent 1"/>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List Table 6 Colorful - Accent 2"/>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7" w:customStyle="1">
    <w:name w:val="List Table 6 Colorful - Accent 3"/>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b/>
        <w:color w:val="c2d69b"/>
      </w:rPr>
    </w:tblStylePr>
    <w:tblStylePr w:type="firstRow">
      <w:rPr>
        <w:b/>
        <w:color w:val="c2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69b"/>
      </w:rPr>
    </w:tblStylePr>
    <w:tblStylePr w:type="lastRow">
      <w:rPr>
        <w:b/>
        <w:color w:val="c2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List Table 6 Colorful - Accent 4"/>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List Table 6 Colorful - Accent 5"/>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ddc"/>
      </w:rPr>
    </w:tblStylePr>
    <w:tblStylePr w:type="lastRow">
      <w:rPr>
        <w:b/>
        <w:color w:val="92cd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List Table 6 Colorful - Accent 6"/>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b/>
        <w:color w:val="fabf8f"/>
      </w:rPr>
    </w:tblStylePr>
    <w:tblStylePr w:type="firstRow">
      <w:rPr>
        <w:b/>
        <w:color w:val="fabf8f"/>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f"/>
      </w:rPr>
    </w:tblStylePr>
    <w:tblStylePr w:type="lastRow">
      <w:rPr>
        <w:b/>
        <w:color w:val="fabf8f"/>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List Table 7 Colorful"/>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List Table 7 Colorful - Accent 1"/>
    <w:uiPriority w:val="99"/>
    <w:qFormat/>
    <w:pPr>
      <w:spacing w:after="0" w:line="240" w:lineRule="auto"/>
    </w:p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List Table 7 Colorful - Accent 2"/>
    <w:uiPriority w:val="99"/>
    <w:qFormat/>
    <w:pPr>
      <w:spacing w:after="0" w:line="240" w:lineRule="auto"/>
    </w:pPr>
    <w:tblPr>
      <w:tblBorders>
        <w:right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List Table 7 Colorful - Accent 3"/>
    <w:uiPriority w:val="99"/>
    <w:qFormat/>
    <w:pPr>
      <w:spacing w:after="0" w:line="240" w:lineRule="auto"/>
    </w:pPr>
    <w:tblPr>
      <w:tblBorders>
        <w:right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List Table 7 Colorful - Accent 4"/>
    <w:uiPriority w:val="99"/>
    <w:qFormat/>
    <w:pPr>
      <w:spacing w:after="0" w:line="240" w:lineRule="auto"/>
    </w:p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List Table 7 Colorful - Accent 5"/>
    <w:uiPriority w:val="99"/>
    <w:qFormat/>
    <w:pPr>
      <w:spacing w:after="0" w:line="240" w:lineRule="auto"/>
    </w:pPr>
    <w:tblPr>
      <w:tblBorders>
        <w:right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List Table 7 Colorful - Accent 6"/>
    <w:uiPriority w:val="99"/>
    <w:qFormat/>
    <w:pPr>
      <w:spacing w:after="0" w:line="240" w:lineRule="auto"/>
    </w:pPr>
    <w:tblPr>
      <w:tblBorders>
        <w:right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9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0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0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0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0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0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05" w:customStyle="1">
    <w:name w:val="Bordered &amp; Lined - Accent"/>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06" w:customStyle="1">
    <w:name w:val="Bordered &amp; Lined - Accent 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07" w:customStyle="1">
    <w:name w:val="Bordered &amp; Lined - Accent 2"/>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08" w:customStyle="1">
    <w:name w:val="Bordered &amp; Lined - Accent 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09" w:customStyle="1">
    <w:name w:val="Bordered &amp; Lined - Accent 4"/>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10" w:customStyle="1">
    <w:name w:val="Bordered &amp; Lined - Accent 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11" w:customStyle="1">
    <w:name w:val="Bordered &amp; Lined - Accent 6"/>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12" w:customStyle="1">
    <w:name w:val="Bordered"/>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3" w:customStyle="1">
    <w:name w:val="Bordered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4" w:customStyle="1">
    <w:name w:val="Bordered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5" w:customStyle="1">
    <w:name w:val="Bordered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6" w:customStyle="1">
    <w:name w:val="Bordered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7" w:customStyle="1">
    <w:name w:val="Bordered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8" w:customStyle="1">
    <w:name w:val="Bordered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19" w:customStyle="1">
    <w:name w:val="TOC Heading"/>
    <w:uiPriority w:val="39"/>
    <w:unhideWhenUsed/>
    <w:qFormat/>
    <w:rPr>
      <w:rFonts w:hint="default" w:ascii="Times New Roman" w:hAnsi="Times New Roman" w:eastAsia="宋体" w:cs="Times New Roman"/>
    </w:rPr>
  </w:style>
  <w:style w:type="paragraph" w:styleId="920" w:customStyle="1">
    <w:name w:val="标题 11"/>
    <w:basedOn w:val="729"/>
    <w:next w:val="729"/>
    <w:link w:val="921"/>
    <w:uiPriority w:val="0"/>
    <w:qFormat/>
    <w:pPr>
      <w:jc w:val="center"/>
      <w:keepNext/>
      <w:outlineLvl w:val="0"/>
    </w:pPr>
    <w:rPr>
      <w:rFonts w:ascii="楷体_GB2312" w:eastAsia="楷体_GB2312"/>
      <w:sz w:val="28"/>
      <w:szCs w:val="28"/>
    </w:rPr>
  </w:style>
  <w:style w:type="character" w:styleId="921" w:customStyle="1">
    <w:name w:val="标题 1 字符"/>
    <w:link w:val="920"/>
    <w:uiPriority w:val="0"/>
    <w:qFormat/>
    <w:rPr>
      <w:rFonts w:ascii="楷体_GB2312" w:hAnsi="Times New Roman" w:eastAsia="楷体_GB2312" w:cs="Times New Roman"/>
      <w:sz w:val="28"/>
      <w:szCs w:val="28"/>
    </w:rPr>
  </w:style>
  <w:style w:type="paragraph" w:styleId="922" w:customStyle="1">
    <w:name w:val="标题 21"/>
    <w:basedOn w:val="729"/>
    <w:next w:val="729"/>
    <w:link w:val="923"/>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923" w:customStyle="1">
    <w:name w:val="标题 2 字符"/>
    <w:link w:val="922"/>
    <w:uiPriority w:val="0"/>
    <w:qFormat/>
    <w:rPr>
      <w:rFonts w:ascii="Arial" w:hAnsi="Arial" w:eastAsia="幼圆" w:cs="Arial"/>
      <w:b/>
      <w:bCs/>
      <w:sz w:val="44"/>
      <w:szCs w:val="44"/>
    </w:rPr>
  </w:style>
  <w:style w:type="paragraph" w:styleId="924" w:customStyle="1">
    <w:name w:val="标题 31"/>
    <w:basedOn w:val="729"/>
    <w:next w:val="925"/>
    <w:link w:val="926"/>
    <w:uiPriority w:val="0"/>
    <w:qFormat/>
    <w:pPr>
      <w:keepLines/>
      <w:keepNext/>
      <w:spacing w:before="260" w:after="260" w:line="416" w:lineRule="auto"/>
      <w:outlineLvl w:val="2"/>
    </w:pPr>
    <w:rPr>
      <w:b/>
      <w:bCs/>
      <w:sz w:val="32"/>
      <w:szCs w:val="32"/>
    </w:rPr>
  </w:style>
  <w:style w:type="paragraph" w:styleId="925" w:customStyle="1">
    <w:name w:val="正文缩进1"/>
    <w:basedOn w:val="729"/>
    <w:next w:val="729"/>
    <w:link w:val="927"/>
    <w:uiPriority w:val="0"/>
    <w:qFormat/>
    <w:pPr>
      <w:ind w:firstLine="420"/>
    </w:pPr>
  </w:style>
  <w:style w:type="character" w:styleId="926" w:customStyle="1">
    <w:name w:val="标题 3 字符"/>
    <w:link w:val="924"/>
    <w:uiPriority w:val="0"/>
    <w:qFormat/>
    <w:rPr>
      <w:rFonts w:ascii="Times New Roman" w:hAnsi="Times New Roman" w:eastAsia="宋体" w:cs="Times New Roman"/>
      <w:b/>
      <w:bCs/>
      <w:sz w:val="32"/>
      <w:szCs w:val="32"/>
    </w:rPr>
  </w:style>
  <w:style w:type="character" w:styleId="927" w:customStyle="1">
    <w:name w:val="正文缩进 字符"/>
    <w:link w:val="925"/>
    <w:uiPriority w:val="0"/>
    <w:qFormat/>
    <w:rPr>
      <w:rFonts w:ascii="Times New Roman" w:hAnsi="Times New Roman" w:eastAsia="宋体" w:cs="Times New Roman"/>
      <w:szCs w:val="21"/>
    </w:rPr>
  </w:style>
  <w:style w:type="paragraph" w:styleId="928" w:customStyle="1">
    <w:name w:val="标题 41"/>
    <w:basedOn w:val="729"/>
    <w:next w:val="925"/>
    <w:link w:val="929"/>
    <w:uiPriority w:val="0"/>
    <w:qFormat/>
    <w:pPr>
      <w:keepLines/>
      <w:keepNext/>
      <w:spacing w:before="280" w:after="290" w:line="376" w:lineRule="auto"/>
      <w:outlineLvl w:val="3"/>
    </w:pPr>
    <w:rPr>
      <w:rFonts w:ascii="Arial" w:hAnsi="Arial" w:eastAsia="黑体" w:cs="Arial"/>
      <w:b/>
      <w:bCs/>
      <w:sz w:val="28"/>
      <w:szCs w:val="28"/>
    </w:rPr>
  </w:style>
  <w:style w:type="character" w:styleId="929" w:customStyle="1">
    <w:name w:val="标题 4 字符"/>
    <w:link w:val="928"/>
    <w:uiPriority w:val="0"/>
    <w:qFormat/>
    <w:rPr>
      <w:rFonts w:ascii="Arial" w:hAnsi="Arial" w:eastAsia="黑体" w:cs="Arial"/>
      <w:b/>
      <w:bCs/>
      <w:sz w:val="28"/>
      <w:szCs w:val="28"/>
    </w:rPr>
  </w:style>
  <w:style w:type="paragraph" w:styleId="930" w:customStyle="1">
    <w:name w:val="标题 51"/>
    <w:basedOn w:val="729"/>
    <w:next w:val="925"/>
    <w:link w:val="931"/>
    <w:uiPriority w:val="0"/>
    <w:qFormat/>
    <w:pPr>
      <w:keepNext/>
      <w:outlineLvl w:val="4"/>
    </w:pPr>
    <w:rPr>
      <w:rFonts w:ascii="宋体"/>
      <w:color w:val="000000"/>
      <w:sz w:val="28"/>
      <w:szCs w:val="28"/>
    </w:rPr>
  </w:style>
  <w:style w:type="character" w:styleId="931" w:customStyle="1">
    <w:name w:val="标题 5 字符"/>
    <w:link w:val="930"/>
    <w:uiPriority w:val="0"/>
    <w:qFormat/>
    <w:rPr>
      <w:rFonts w:ascii="宋体" w:hAnsi="Times New Roman" w:eastAsia="宋体" w:cs="Times New Roman"/>
      <w:color w:val="000000"/>
      <w:sz w:val="28"/>
      <w:szCs w:val="28"/>
    </w:rPr>
  </w:style>
  <w:style w:type="paragraph" w:styleId="932" w:customStyle="1">
    <w:name w:val="标题 61"/>
    <w:basedOn w:val="729"/>
    <w:next w:val="729"/>
    <w:link w:val="933"/>
    <w:uiPriority w:val="0"/>
    <w:qFormat/>
    <w:pPr>
      <w:numPr>
        <w:ilvl w:val="5"/>
        <w:numId w:val="2"/>
      </w:numPr>
      <w:keepLines/>
      <w:keepNext/>
      <w:spacing w:before="240" w:after="64" w:line="320" w:lineRule="auto"/>
      <w:outlineLvl w:val="5"/>
    </w:pPr>
    <w:rPr>
      <w:rFonts w:ascii="Arial" w:hAnsi="Arial" w:eastAsia="黑体"/>
      <w:b/>
      <w:bCs/>
      <w:sz w:val="24"/>
      <w:szCs w:val="24"/>
    </w:rPr>
  </w:style>
  <w:style w:type="character" w:styleId="933" w:customStyle="1">
    <w:name w:val="标题 6 字符"/>
    <w:link w:val="932"/>
    <w:uiPriority w:val="0"/>
    <w:qFormat/>
    <w:rPr>
      <w:rFonts w:ascii="Arial" w:hAnsi="Arial" w:eastAsia="黑体" w:cs="Times New Roman"/>
      <w:b/>
      <w:bCs/>
      <w:sz w:val="24"/>
      <w:szCs w:val="24"/>
    </w:rPr>
  </w:style>
  <w:style w:type="paragraph" w:styleId="934" w:customStyle="1">
    <w:name w:val="标题 71"/>
    <w:basedOn w:val="729"/>
    <w:next w:val="729"/>
    <w:link w:val="935"/>
    <w:uiPriority w:val="0"/>
    <w:qFormat/>
    <w:pPr>
      <w:numPr>
        <w:ilvl w:val="6"/>
        <w:numId w:val="2"/>
      </w:numPr>
      <w:keepLines/>
      <w:keepNext/>
      <w:spacing w:before="240" w:after="64" w:line="320" w:lineRule="auto"/>
      <w:outlineLvl w:val="6"/>
    </w:pPr>
    <w:rPr>
      <w:b/>
      <w:bCs/>
      <w:sz w:val="24"/>
      <w:szCs w:val="24"/>
    </w:rPr>
  </w:style>
  <w:style w:type="character" w:styleId="935" w:customStyle="1">
    <w:name w:val="标题 7 字符"/>
    <w:link w:val="934"/>
    <w:uiPriority w:val="0"/>
    <w:qFormat/>
    <w:rPr>
      <w:rFonts w:ascii="Times New Roman" w:hAnsi="Times New Roman" w:eastAsia="宋体" w:cs="Times New Roman"/>
      <w:b/>
      <w:bCs/>
      <w:sz w:val="24"/>
      <w:szCs w:val="24"/>
    </w:rPr>
  </w:style>
  <w:style w:type="paragraph" w:styleId="936" w:customStyle="1">
    <w:name w:val="标题 81"/>
    <w:basedOn w:val="729"/>
    <w:next w:val="729"/>
    <w:link w:val="937"/>
    <w:uiPriority w:val="0"/>
    <w:qFormat/>
    <w:pPr>
      <w:numPr>
        <w:ilvl w:val="7"/>
        <w:numId w:val="2"/>
      </w:numPr>
      <w:keepLines/>
      <w:keepNext/>
      <w:spacing w:before="240" w:after="64" w:line="320" w:lineRule="auto"/>
      <w:outlineLvl w:val="7"/>
    </w:pPr>
    <w:rPr>
      <w:rFonts w:ascii="Arial" w:hAnsi="Arial" w:eastAsia="黑体"/>
      <w:sz w:val="24"/>
      <w:szCs w:val="24"/>
    </w:rPr>
  </w:style>
  <w:style w:type="character" w:styleId="937" w:customStyle="1">
    <w:name w:val="标题 8 字符"/>
    <w:link w:val="936"/>
    <w:uiPriority w:val="0"/>
    <w:qFormat/>
    <w:rPr>
      <w:rFonts w:ascii="Arial" w:hAnsi="Arial" w:eastAsia="黑体" w:cs="Times New Roman"/>
      <w:sz w:val="24"/>
      <w:szCs w:val="24"/>
    </w:rPr>
  </w:style>
  <w:style w:type="paragraph" w:styleId="938" w:customStyle="1">
    <w:name w:val="标题 91"/>
    <w:basedOn w:val="729"/>
    <w:next w:val="729"/>
    <w:link w:val="939"/>
    <w:uiPriority w:val="0"/>
    <w:qFormat/>
    <w:pPr>
      <w:numPr>
        <w:ilvl w:val="8"/>
        <w:numId w:val="2"/>
      </w:numPr>
      <w:keepLines/>
      <w:keepNext/>
      <w:spacing w:before="240" w:after="64" w:line="320" w:lineRule="auto"/>
      <w:outlineLvl w:val="8"/>
    </w:pPr>
    <w:rPr>
      <w:rFonts w:ascii="Arial" w:hAnsi="Arial" w:eastAsia="黑体"/>
    </w:rPr>
  </w:style>
  <w:style w:type="character" w:styleId="939" w:customStyle="1">
    <w:name w:val="标题 9 字符"/>
    <w:link w:val="938"/>
    <w:uiPriority w:val="0"/>
    <w:qFormat/>
    <w:rPr>
      <w:rFonts w:ascii="Arial" w:hAnsi="Arial" w:eastAsia="黑体" w:cs="Times New Roman"/>
      <w:szCs w:val="21"/>
    </w:rPr>
  </w:style>
  <w:style w:type="character" w:styleId="940" w:customStyle="1">
    <w:name w:val="默认段落字体1"/>
    <w:uiPriority w:val="1"/>
    <w:unhideWhenUsed/>
    <w:qFormat/>
  </w:style>
  <w:style w:type="table" w:styleId="941" w:customStyle="1">
    <w:name w:val="普通表格1"/>
    <w:uiPriority w:val="99"/>
    <w:unhideWhenUsed/>
    <w:qFormat/>
    <w:tblPr/>
  </w:style>
  <w:style w:type="paragraph" w:styleId="942" w:customStyle="1">
    <w:name w:val="列表 31"/>
    <w:basedOn w:val="729"/>
    <w:uiPriority w:val="0"/>
    <w:qFormat/>
    <w:pPr>
      <w:ind w:left="100" w:hanging="200"/>
    </w:pPr>
  </w:style>
  <w:style w:type="paragraph" w:styleId="943" w:customStyle="1">
    <w:name w:val="文档结构图1"/>
    <w:basedOn w:val="729"/>
    <w:link w:val="944"/>
    <w:uiPriority w:val="0"/>
    <w:semiHidden/>
    <w:qFormat/>
    <w:pPr>
      <w:shd w:val="clear" w:color="auto" w:fill="000080"/>
    </w:pPr>
  </w:style>
  <w:style w:type="character" w:styleId="944" w:customStyle="1">
    <w:name w:val="文档结构图 字符"/>
    <w:link w:val="943"/>
    <w:uiPriority w:val="0"/>
    <w:semiHidden/>
    <w:qFormat/>
    <w:rPr>
      <w:rFonts w:ascii="Times New Roman" w:hAnsi="Times New Roman" w:eastAsia="宋体" w:cs="Times New Roman"/>
      <w:szCs w:val="21"/>
      <w:shd w:val="clear" w:color="auto" w:fill="000080"/>
    </w:rPr>
  </w:style>
  <w:style w:type="paragraph" w:styleId="945" w:customStyle="1">
    <w:name w:val="批注文字1"/>
    <w:basedOn w:val="729"/>
    <w:link w:val="946"/>
    <w:uiPriority w:val="0"/>
    <w:semiHidden/>
    <w:qFormat/>
    <w:pPr>
      <w:jc w:val="left"/>
    </w:pPr>
  </w:style>
  <w:style w:type="character" w:styleId="946" w:customStyle="1">
    <w:name w:val="批注文字 字符"/>
    <w:link w:val="945"/>
    <w:uiPriority w:val="0"/>
    <w:semiHidden/>
    <w:qFormat/>
    <w:rPr>
      <w:rFonts w:ascii="Times New Roman" w:hAnsi="Times New Roman" w:eastAsia="宋体" w:cs="Times New Roman"/>
      <w:szCs w:val="21"/>
    </w:rPr>
  </w:style>
  <w:style w:type="paragraph" w:styleId="947" w:customStyle="1">
    <w:name w:val="正文文本 31"/>
    <w:basedOn w:val="729"/>
    <w:link w:val="948"/>
    <w:uiPriority w:val="0"/>
    <w:qFormat/>
    <w:rPr>
      <w:rFonts w:ascii="仿宋_GB2312" w:hAnsi="Arial" w:eastAsia="仿宋_GB2312"/>
      <w:sz w:val="32"/>
      <w:szCs w:val="32"/>
    </w:rPr>
  </w:style>
  <w:style w:type="character" w:styleId="948" w:customStyle="1">
    <w:name w:val="正文文本 3 字符"/>
    <w:link w:val="947"/>
    <w:uiPriority w:val="0"/>
    <w:qFormat/>
    <w:rPr>
      <w:rFonts w:ascii="仿宋_GB2312" w:hAnsi="Arial" w:eastAsia="仿宋_GB2312" w:cs="Times New Roman"/>
      <w:sz w:val="32"/>
      <w:szCs w:val="32"/>
    </w:rPr>
  </w:style>
  <w:style w:type="paragraph" w:styleId="949" w:customStyle="1">
    <w:name w:val="正文文本1"/>
    <w:basedOn w:val="729"/>
    <w:next w:val="729"/>
    <w:link w:val="950"/>
    <w:uiPriority w:val="0"/>
    <w:qFormat/>
    <w:rPr>
      <w:rFonts w:ascii="楷体_GB2312" w:hAnsi="Arial" w:eastAsia="楷体_GB2312"/>
      <w:sz w:val="28"/>
      <w:szCs w:val="28"/>
    </w:rPr>
  </w:style>
  <w:style w:type="character" w:styleId="950" w:customStyle="1">
    <w:name w:val="正文文本 字符"/>
    <w:link w:val="949"/>
    <w:uiPriority w:val="0"/>
    <w:qFormat/>
    <w:rPr>
      <w:rFonts w:ascii="楷体_GB2312" w:hAnsi="Arial" w:eastAsia="楷体_GB2312" w:cs="Times New Roman"/>
      <w:sz w:val="28"/>
      <w:szCs w:val="28"/>
    </w:rPr>
  </w:style>
  <w:style w:type="paragraph" w:styleId="951" w:customStyle="1">
    <w:name w:val="列表 21"/>
    <w:basedOn w:val="729"/>
    <w:uiPriority w:val="0"/>
    <w:qFormat/>
    <w:pPr>
      <w:ind w:left="100" w:hanging="200"/>
    </w:pPr>
  </w:style>
  <w:style w:type="paragraph" w:styleId="952" w:customStyle="1">
    <w:name w:val="纯文本1"/>
    <w:basedOn w:val="729"/>
    <w:link w:val="953"/>
    <w:uiPriority w:val="0"/>
    <w:qFormat/>
    <w:rPr>
      <w:rFonts w:ascii="宋体" w:hAnsi="Courier New" w:cs="Courier New"/>
    </w:rPr>
  </w:style>
  <w:style w:type="character" w:styleId="953" w:customStyle="1">
    <w:name w:val="纯文本 字符"/>
    <w:link w:val="952"/>
    <w:uiPriority w:val="0"/>
    <w:qFormat/>
    <w:rPr>
      <w:rFonts w:ascii="宋体" w:hAnsi="Courier New" w:eastAsia="宋体" w:cs="Courier New"/>
      <w:szCs w:val="21"/>
    </w:rPr>
  </w:style>
  <w:style w:type="paragraph" w:styleId="954" w:customStyle="1">
    <w:name w:val="日期1"/>
    <w:basedOn w:val="729"/>
    <w:next w:val="729"/>
    <w:link w:val="955"/>
    <w:uiPriority w:val="0"/>
    <w:qFormat/>
    <w:rPr>
      <w:sz w:val="24"/>
      <w:szCs w:val="24"/>
    </w:rPr>
  </w:style>
  <w:style w:type="character" w:styleId="955" w:customStyle="1">
    <w:name w:val="日期 字符"/>
    <w:link w:val="954"/>
    <w:uiPriority w:val="0"/>
    <w:qFormat/>
    <w:rPr>
      <w:rFonts w:ascii="Times New Roman" w:hAnsi="Times New Roman" w:eastAsia="宋体" w:cs="Times New Roman"/>
      <w:sz w:val="24"/>
      <w:szCs w:val="24"/>
    </w:rPr>
  </w:style>
  <w:style w:type="paragraph" w:styleId="956" w:customStyle="1">
    <w:name w:val="正文文本缩进 21"/>
    <w:basedOn w:val="729"/>
    <w:link w:val="957"/>
    <w:uiPriority w:val="0"/>
    <w:qFormat/>
    <w:pPr>
      <w:ind w:left="630" w:firstLine="645"/>
    </w:pPr>
    <w:rPr>
      <w:rFonts w:ascii="Arial" w:hAnsi="Arial" w:eastAsia="仿宋_GB2312" w:cs="Arial"/>
      <w:sz w:val="32"/>
      <w:szCs w:val="32"/>
    </w:rPr>
  </w:style>
  <w:style w:type="character" w:styleId="957" w:customStyle="1">
    <w:name w:val="正文文本缩进 2 字符"/>
    <w:link w:val="956"/>
    <w:uiPriority w:val="0"/>
    <w:qFormat/>
    <w:rPr>
      <w:rFonts w:ascii="Arial" w:hAnsi="Arial" w:eastAsia="仿宋_GB2312" w:cs="Arial"/>
      <w:sz w:val="32"/>
      <w:szCs w:val="32"/>
    </w:rPr>
  </w:style>
  <w:style w:type="paragraph" w:styleId="958" w:customStyle="1">
    <w:name w:val="批注框文本1"/>
    <w:basedOn w:val="729"/>
    <w:link w:val="959"/>
    <w:uiPriority w:val="0"/>
    <w:semiHidden/>
    <w:qFormat/>
    <w:rPr>
      <w:sz w:val="18"/>
      <w:szCs w:val="18"/>
    </w:rPr>
  </w:style>
  <w:style w:type="character" w:styleId="959" w:customStyle="1">
    <w:name w:val="批注框文本 字符"/>
    <w:link w:val="958"/>
    <w:uiPriority w:val="0"/>
    <w:semiHidden/>
    <w:qFormat/>
    <w:rPr>
      <w:rFonts w:ascii="Times New Roman" w:hAnsi="Times New Roman" w:eastAsia="宋体" w:cs="Times New Roman"/>
      <w:sz w:val="18"/>
      <w:szCs w:val="18"/>
    </w:rPr>
  </w:style>
  <w:style w:type="paragraph" w:styleId="960" w:customStyle="1">
    <w:name w:val="页脚1"/>
    <w:basedOn w:val="729"/>
    <w:link w:val="961"/>
    <w:uiPriority w:val="0"/>
    <w:qFormat/>
    <w:pPr>
      <w:jc w:val="left"/>
      <w:tabs>
        <w:tab w:val="center" w:pos="4153" w:leader="none"/>
        <w:tab w:val="right" w:pos="8306" w:leader="none"/>
      </w:tabs>
    </w:pPr>
    <w:rPr>
      <w:sz w:val="18"/>
      <w:szCs w:val="18"/>
    </w:rPr>
  </w:style>
  <w:style w:type="character" w:styleId="961" w:customStyle="1">
    <w:name w:val="页脚 字符"/>
    <w:link w:val="960"/>
    <w:uiPriority w:val="0"/>
    <w:qFormat/>
    <w:rPr>
      <w:rFonts w:ascii="Times New Roman" w:hAnsi="Times New Roman" w:eastAsia="宋体" w:cs="Times New Roman"/>
      <w:sz w:val="18"/>
      <w:szCs w:val="18"/>
    </w:rPr>
  </w:style>
  <w:style w:type="paragraph" w:styleId="962" w:customStyle="1">
    <w:name w:val="页眉1"/>
    <w:basedOn w:val="729"/>
    <w:link w:val="963"/>
    <w:uiPriority w:val="0"/>
    <w:qFormat/>
    <w:pPr>
      <w:jc w:val="center"/>
      <w:tabs>
        <w:tab w:val="center" w:pos="4153" w:leader="none"/>
        <w:tab w:val="right" w:pos="8306" w:leader="none"/>
      </w:tabs>
      <w:pBdr>
        <w:bottom w:val="single" w:color="000000" w:sz="6" w:space="1"/>
      </w:pBdr>
    </w:pPr>
    <w:rPr>
      <w:sz w:val="18"/>
      <w:szCs w:val="18"/>
    </w:rPr>
  </w:style>
  <w:style w:type="character" w:styleId="963" w:customStyle="1">
    <w:name w:val="页眉 字符"/>
    <w:link w:val="962"/>
    <w:uiPriority w:val="0"/>
    <w:qFormat/>
    <w:rPr>
      <w:rFonts w:ascii="Times New Roman" w:hAnsi="Times New Roman" w:eastAsia="宋体" w:cs="Times New Roman"/>
      <w:sz w:val="18"/>
      <w:szCs w:val="18"/>
    </w:rPr>
  </w:style>
  <w:style w:type="paragraph" w:styleId="964" w:customStyle="1">
    <w:name w:val="列表1"/>
    <w:basedOn w:val="729"/>
    <w:uiPriority w:val="0"/>
    <w:qFormat/>
    <w:pPr>
      <w:ind w:left="200" w:hanging="200"/>
    </w:pPr>
  </w:style>
  <w:style w:type="paragraph" w:styleId="965" w:customStyle="1">
    <w:name w:val="正文文本缩进 31"/>
    <w:basedOn w:val="729"/>
    <w:link w:val="966"/>
    <w:uiPriority w:val="0"/>
    <w:qFormat/>
    <w:pPr>
      <w:ind w:left="645" w:firstLine="645"/>
    </w:pPr>
    <w:rPr>
      <w:rFonts w:ascii="Arial" w:hAnsi="Arial" w:eastAsia="仿宋_GB2312" w:cs="Arial"/>
      <w:color w:val="ffff00"/>
      <w:sz w:val="32"/>
      <w:szCs w:val="32"/>
    </w:rPr>
  </w:style>
  <w:style w:type="character" w:styleId="966" w:customStyle="1">
    <w:name w:val="正文文本缩进 3 字符"/>
    <w:link w:val="965"/>
    <w:uiPriority w:val="0"/>
    <w:qFormat/>
    <w:rPr>
      <w:rFonts w:ascii="Arial" w:hAnsi="Arial" w:eastAsia="仿宋_GB2312" w:cs="Arial"/>
      <w:color w:val="ffff00"/>
      <w:sz w:val="32"/>
      <w:szCs w:val="32"/>
    </w:rPr>
  </w:style>
  <w:style w:type="paragraph" w:styleId="967" w:customStyle="1">
    <w:name w:val="图表目录1"/>
    <w:basedOn w:val="729"/>
    <w:next w:val="729"/>
    <w:uiPriority w:val="0"/>
    <w:semiHidden/>
    <w:qFormat/>
    <w:pPr>
      <w:ind w:left="840" w:hanging="420"/>
    </w:pPr>
  </w:style>
  <w:style w:type="paragraph" w:styleId="968" w:customStyle="1">
    <w:name w:val="正文文本 21"/>
    <w:basedOn w:val="729"/>
    <w:link w:val="969"/>
    <w:uiPriority w:val="0"/>
    <w:qFormat/>
    <w:pPr>
      <w:jc w:val="center"/>
      <w:widowControl/>
    </w:pPr>
    <w:rPr>
      <w:rFonts w:ascii="楷体_GB2312" w:eastAsia="楷体_GB2312"/>
      <w:sz w:val="28"/>
      <w:szCs w:val="28"/>
    </w:rPr>
  </w:style>
  <w:style w:type="character" w:styleId="969" w:customStyle="1">
    <w:name w:val="正文文本 2 字符"/>
    <w:link w:val="968"/>
    <w:uiPriority w:val="0"/>
    <w:qFormat/>
    <w:rPr>
      <w:rFonts w:ascii="楷体_GB2312" w:hAnsi="Times New Roman" w:eastAsia="楷体_GB2312" w:cs="Times New Roman"/>
      <w:sz w:val="28"/>
      <w:szCs w:val="28"/>
    </w:rPr>
  </w:style>
  <w:style w:type="paragraph" w:styleId="970" w:customStyle="1">
    <w:name w:val="普通(网站)1"/>
    <w:basedOn w:val="729"/>
    <w:uiPriority w:val="99"/>
    <w:qFormat/>
    <w:pPr>
      <w:jc w:val="left"/>
      <w:spacing w:before="100" w:beforeAutospacing="1" w:after="100" w:afterAutospacing="1"/>
      <w:widowControl/>
    </w:pPr>
    <w:rPr>
      <w:rFonts w:ascii="宋体" w:hAnsi="宋体" w:cs="宋体"/>
      <w:sz w:val="24"/>
      <w:szCs w:val="24"/>
    </w:rPr>
  </w:style>
  <w:style w:type="paragraph" w:styleId="971" w:customStyle="1">
    <w:name w:val="索引 11"/>
    <w:basedOn w:val="729"/>
    <w:next w:val="729"/>
    <w:uiPriority w:val="0"/>
    <w:semiHidden/>
    <w:qFormat/>
    <w:pPr>
      <w:spacing w:line="240" w:lineRule="atLeast"/>
    </w:pPr>
    <w:rPr>
      <w:b/>
      <w:bCs/>
    </w:rPr>
  </w:style>
  <w:style w:type="paragraph" w:styleId="972" w:customStyle="1">
    <w:name w:val="批注主题1"/>
    <w:basedOn w:val="945"/>
    <w:next w:val="945"/>
    <w:link w:val="973"/>
    <w:uiPriority w:val="0"/>
    <w:semiHidden/>
    <w:qFormat/>
    <w:rPr>
      <w:b/>
      <w:bCs/>
    </w:rPr>
  </w:style>
  <w:style w:type="character" w:styleId="973" w:customStyle="1">
    <w:name w:val="批注主题 字符"/>
    <w:link w:val="972"/>
    <w:uiPriority w:val="0"/>
    <w:semiHidden/>
    <w:qFormat/>
    <w:rPr>
      <w:rFonts w:ascii="Times New Roman" w:hAnsi="Times New Roman" w:eastAsia="宋体" w:cs="Times New Roman"/>
      <w:b/>
      <w:bCs/>
      <w:szCs w:val="21"/>
    </w:rPr>
  </w:style>
  <w:style w:type="paragraph" w:styleId="974" w:customStyle="1">
    <w:name w:val="正文文本首行缩进"/>
    <w:basedOn w:val="729"/>
    <w:link w:val="975"/>
    <w:uiPriority w:val="0"/>
    <w:qFormat/>
    <w:pPr>
      <w:ind w:firstLine="200"/>
      <w:spacing w:line="360" w:lineRule="auto"/>
    </w:pPr>
    <w:rPr>
      <w:rFonts w:ascii="仿宋_GB2312" w:eastAsia="仿宋_GB2312"/>
      <w:sz w:val="30"/>
      <w:szCs w:val="30"/>
    </w:rPr>
  </w:style>
  <w:style w:type="character" w:styleId="975" w:customStyle="1">
    <w:name w:val="正文文本首行缩进 字符"/>
    <w:link w:val="974"/>
    <w:uiPriority w:val="0"/>
    <w:qFormat/>
    <w:rPr>
      <w:rFonts w:ascii="仿宋_GB2312" w:hAnsi="Times New Roman" w:eastAsia="仿宋_GB2312" w:cs="Times New Roman"/>
      <w:sz w:val="30"/>
      <w:szCs w:val="30"/>
    </w:rPr>
  </w:style>
  <w:style w:type="paragraph" w:styleId="976" w:customStyle="1">
    <w:name w:val="正文文本首行缩进 2"/>
    <w:basedOn w:val="784"/>
    <w:link w:val="977"/>
    <w:uiPriority w:val="0"/>
    <w:qFormat/>
    <w:pPr>
      <w:ind w:firstLine="420"/>
      <w:spacing w:line="360" w:lineRule="auto"/>
    </w:pPr>
    <w:rPr>
      <w:rFonts w:ascii="宋体" w:hAnsi="宋体" w:eastAsia="宋体"/>
      <w:sz w:val="21"/>
      <w:szCs w:val="20"/>
    </w:rPr>
  </w:style>
  <w:style w:type="character" w:styleId="977" w:customStyle="1">
    <w:name w:val="正文文本首行缩进 2 字符"/>
    <w:link w:val="976"/>
    <w:uiPriority w:val="0"/>
    <w:qFormat/>
    <w:rPr>
      <w:rFonts w:ascii="宋体" w:hAnsi="宋体" w:eastAsia="宋体" w:cs="Times New Roman"/>
      <w:sz w:val="32"/>
      <w:szCs w:val="20"/>
    </w:rPr>
  </w:style>
  <w:style w:type="table" w:styleId="978" w:customStyle="1">
    <w:name w:val="网格型1"/>
    <w:basedOn w:val="941"/>
    <w:uiPriority w:val="0"/>
    <w:qFormat/>
    <w:pPr>
      <w:jc w:val="both"/>
      <w:widowControl w:val="off"/>
    </w:pPr>
    <w:rPr>
      <w:rFonts w:ascii="Times New Roman" w:hAnsi="Times New Roman" w:eastAsia="宋体" w:cs="Times New Roman"/>
      <w:sz w:val="20"/>
      <w:szCs w:val="20"/>
    </w:rPr>
    <w:tblPr/>
  </w:style>
  <w:style w:type="character" w:styleId="979" w:customStyle="1">
    <w:name w:val="要点1"/>
    <w:uiPriority w:val="0"/>
    <w:qFormat/>
    <w:rPr>
      <w:b/>
      <w:bCs/>
    </w:rPr>
  </w:style>
  <w:style w:type="character" w:styleId="980" w:customStyle="1">
    <w:name w:val="页码1"/>
    <w:uiPriority w:val="0"/>
    <w:qFormat/>
  </w:style>
  <w:style w:type="character" w:styleId="981" w:customStyle="1">
    <w:name w:val="访问过的超链接"/>
    <w:uiPriority w:val="0"/>
    <w:qFormat/>
    <w:rPr>
      <w:color w:val="800080"/>
      <w:u w:val="single"/>
    </w:rPr>
  </w:style>
  <w:style w:type="character" w:styleId="982" w:customStyle="1">
    <w:name w:val="超链接1"/>
    <w:uiPriority w:val="0"/>
    <w:qFormat/>
    <w:rPr>
      <w:color w:val="0000ff"/>
      <w:u w:val="single"/>
    </w:rPr>
  </w:style>
  <w:style w:type="character" w:styleId="983" w:customStyle="1">
    <w:name w:val="批注引用1"/>
    <w:uiPriority w:val="0"/>
    <w:semiHidden/>
    <w:qFormat/>
    <w:rPr>
      <w:sz w:val="21"/>
      <w:szCs w:val="21"/>
    </w:rPr>
  </w:style>
  <w:style w:type="paragraph" w:styleId="984" w:customStyle="1">
    <w:name w:val="正文空2字"/>
    <w:basedOn w:val="985"/>
    <w:uiPriority w:val="99"/>
    <w:qFormat/>
    <w:pPr>
      <w:ind w:firstLine="640"/>
      <w:spacing w:line="560" w:lineRule="exact"/>
      <w:widowControl w:val="off"/>
    </w:pPr>
    <w:rPr>
      <w:rFonts w:ascii="仿宋_GB2312" w:hAnsi="仿宋_GB2312" w:cs="仿宋_GB2312"/>
      <w:lang w:val="zh-TW"/>
    </w:rPr>
  </w:style>
  <w:style w:type="paragraph" w:styleId="985" w:customStyle="1">
    <w:name w:val="左对齐正文"/>
    <w:uiPriority w:val="99"/>
    <w:qFormat/>
    <w:rPr>
      <w:rFonts w:hint="default" w:ascii="Calibri" w:hAnsi="Calibri" w:eastAsia="仿宋_GB2312" w:cs="Calibri"/>
      <w:sz w:val="32"/>
      <w:szCs w:val="32"/>
      <w:lang w:val="en-US" w:eastAsia="zh-CN" w:bidi="ar-SA"/>
    </w:rPr>
  </w:style>
  <w:style w:type="paragraph" w:styleId="986" w:customStyle="1">
    <w:name w:val="索引 41"/>
    <w:basedOn w:val="729"/>
    <w:next w:val="729"/>
    <w:uiPriority w:val="0"/>
    <w:semiHidden/>
    <w:qFormat/>
    <w:pPr>
      <w:ind w:left="1260"/>
    </w:pPr>
    <w:rPr>
      <w:rFonts w:ascii="Calibri" w:hAnsi="Calibri" w:eastAsia="Calibri" w:cs="宋体"/>
      <w:sz w:val="20"/>
      <w:lang w:val="zh-CN"/>
    </w:rPr>
  </w:style>
  <w:style w:type="character" w:styleId="987" w:customStyle="1">
    <w:name w:val="font5 Char"/>
    <w:uiPriority w:val="0"/>
    <w:qFormat/>
    <w:rPr>
      <w:rFonts w:ascii="宋体" w:hAnsi="宋体" w:eastAsia="宋体"/>
      <w:sz w:val="28"/>
      <w:szCs w:val="28"/>
      <w:lang w:val="en-US" w:eastAsia="zh-CN" w:bidi="ar-SA"/>
    </w:rPr>
  </w:style>
  <w:style w:type="character" w:styleId="988" w:customStyle="1">
    <w:name w:val="二级目录 Char"/>
    <w:link w:val="989"/>
    <w:uiPriority w:val="0"/>
    <w:qFormat/>
    <w:rPr>
      <w:b/>
      <w:sz w:val="30"/>
      <w:szCs w:val="28"/>
    </w:rPr>
  </w:style>
  <w:style w:type="paragraph" w:styleId="989" w:customStyle="1">
    <w:name w:val="二级目录"/>
    <w:next w:val="729"/>
    <w:link w:val="988"/>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0" w:customStyle="1">
    <w:name w:val="列出段落 Char"/>
    <w:link w:val="991"/>
    <w:uiPriority w:val="0"/>
    <w:qFormat/>
    <w:rPr>
      <w:rFonts w:ascii="Calibri" w:hAnsi="Calibri"/>
      <w:sz w:val="24"/>
      <w:szCs w:val="24"/>
      <w:lang w:eastAsia="en-US" w:bidi="en-US"/>
    </w:rPr>
  </w:style>
  <w:style w:type="paragraph" w:styleId="991" w:customStyle="1">
    <w:name w:val="列出段落1"/>
    <w:basedOn w:val="729"/>
    <w:link w:val="990"/>
    <w:uiPriority w:val="0"/>
    <w:qFormat/>
    <w:pPr>
      <w:contextualSpacing/>
      <w:ind w:left="720"/>
      <w:jc w:val="left"/>
      <w:widowControl/>
    </w:pPr>
    <w:rPr>
      <w:rFonts w:ascii="Calibri" w:hAnsi="Calibri" w:eastAsia="宋体" w:cs="Times New Roman"/>
      <w:sz w:val="24"/>
      <w:szCs w:val="24"/>
      <w:lang w:eastAsia="en-US" w:bidi="en-US"/>
    </w:rPr>
  </w:style>
  <w:style w:type="paragraph" w:styleId="992" w:customStyle="1">
    <w:name w:val="Body Text(ch)"/>
    <w:basedOn w:val="729"/>
    <w:next w:val="949"/>
    <w:uiPriority w:val="0"/>
    <w:qFormat/>
    <w:pPr>
      <w:spacing w:after="120"/>
    </w:pPr>
    <w:rPr>
      <w:rFonts w:ascii="宋体" w:hAnsi="Arial"/>
      <w:bCs/>
      <w:iCs/>
      <w:szCs w:val="24"/>
    </w:rPr>
  </w:style>
  <w:style w:type="paragraph" w:styleId="993" w:customStyle="1">
    <w:name w:val="xl27"/>
    <w:basedOn w:val="72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4" w:customStyle="1">
    <w:name w:val="xl26"/>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5" w:customStyle="1">
    <w:name w:val="Char"/>
    <w:basedOn w:val="729"/>
    <w:uiPriority w:val="0"/>
    <w:qFormat/>
    <w:pPr>
      <w:ind w:firstLine="200"/>
      <w:tabs>
        <w:tab w:val="left" w:pos="360" w:leader="none"/>
      </w:tabs>
    </w:pPr>
    <w:rPr>
      <w:sz w:val="28"/>
      <w:szCs w:val="30"/>
    </w:rPr>
  </w:style>
  <w:style w:type="paragraph" w:styleId="996" w:customStyle="1">
    <w:name w:val=" Char"/>
    <w:basedOn w:val="943"/>
    <w:uiPriority w:val="0"/>
    <w:qFormat/>
    <w:rPr>
      <w:rFonts w:ascii="Tahoma" w:hAnsi="Tahoma"/>
      <w:sz w:val="24"/>
      <w:szCs w:val="24"/>
    </w:rPr>
  </w:style>
  <w:style w:type="paragraph" w:styleId="997" w:customStyle="1">
    <w:name w:val="普通正文"/>
    <w:basedOn w:val="729"/>
    <w:uiPriority w:val="0"/>
    <w:qFormat/>
    <w:pPr>
      <w:ind w:firstLine="480"/>
      <w:jc w:val="left"/>
      <w:spacing w:before="120" w:after="120" w:line="360" w:lineRule="auto"/>
    </w:pPr>
    <w:rPr>
      <w:rFonts w:ascii="Arial" w:hAnsi="Arial"/>
      <w:sz w:val="24"/>
      <w:szCs w:val="24"/>
    </w:rPr>
  </w:style>
  <w:style w:type="paragraph" w:styleId="998" w:customStyle="1">
    <w:name w:val="table_lines"/>
    <w:basedOn w:val="729"/>
    <w:uiPriority w:val="0"/>
    <w:qFormat/>
    <w:pPr>
      <w:jc w:val="left"/>
      <w:widowControl/>
    </w:pPr>
    <w:rPr>
      <w:sz w:val="20"/>
      <w:szCs w:val="20"/>
      <w:lang w:val="de-DE" w:eastAsia="de-DE"/>
    </w:rPr>
  </w:style>
  <w:style w:type="paragraph" w:styleId="999"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00" w:customStyle="1">
    <w:name w:val="font7"/>
    <w:basedOn w:val="729"/>
    <w:uiPriority w:val="0"/>
    <w:qFormat/>
    <w:pPr>
      <w:jc w:val="left"/>
      <w:spacing w:before="100" w:beforeAutospacing="1" w:after="100" w:afterAutospacing="1"/>
      <w:widowControl/>
    </w:pPr>
    <w:rPr>
      <w:rFonts w:hint="eastAsia" w:ascii="宋体" w:hAnsi="宋体"/>
      <w:sz w:val="18"/>
      <w:szCs w:val="18"/>
    </w:rPr>
  </w:style>
  <w:style w:type="paragraph" w:styleId="1001" w:customStyle="1">
    <w:name w:val=" Char Char Char Char"/>
    <w:basedOn w:val="943"/>
    <w:uiPriority w:val="0"/>
    <w:qFormat/>
    <w:pPr>
      <w:spacing w:line="360" w:lineRule="auto"/>
    </w:pPr>
    <w:rPr>
      <w:rFonts w:ascii="Tahoma" w:hAnsi="Tahoma"/>
      <w:sz w:val="24"/>
      <w:szCs w:val="24"/>
    </w:rPr>
  </w:style>
  <w:style w:type="paragraph" w:styleId="1002" w:customStyle="1">
    <w:name w:val="列表段落"/>
    <w:basedOn w:val="729"/>
    <w:uiPriority w:val="99"/>
    <w:qFormat/>
    <w:pPr>
      <w:contextualSpacing/>
      <w:ind w:left="720"/>
      <w:jc w:val="left"/>
      <w:widowControl/>
    </w:pPr>
    <w:rPr>
      <w:rFonts w:ascii="Calibri" w:hAnsi="Calibri"/>
      <w:sz w:val="24"/>
      <w:szCs w:val="24"/>
      <w:lang w:eastAsia="en-US" w:bidi="en-US"/>
    </w:rPr>
  </w:style>
  <w:style w:type="paragraph" w:styleId="1003" w:customStyle="1">
    <w:name w:val="4"/>
    <w:basedOn w:val="729"/>
    <w:next w:val="965"/>
    <w:uiPriority w:val="0"/>
    <w:qFormat/>
    <w:pPr>
      <w:ind w:firstLine="420"/>
      <w:spacing w:line="360" w:lineRule="auto"/>
    </w:pPr>
    <w:rPr>
      <w:color w:val="ff0000"/>
      <w:sz w:val="24"/>
      <w:szCs w:val="24"/>
    </w:rPr>
  </w:style>
  <w:style w:type="paragraph" w:styleId="1004" w:customStyle="1">
    <w:name w:val="普通 (Web)"/>
    <w:basedOn w:val="729"/>
    <w:uiPriority w:val="0"/>
    <w:qFormat/>
    <w:pPr>
      <w:jc w:val="left"/>
      <w:spacing w:before="100" w:beforeAutospacing="1" w:after="100" w:afterAutospacing="1"/>
      <w:widowControl/>
    </w:pPr>
    <w:rPr>
      <w:rFonts w:ascii="宋体" w:hAnsi="宋体"/>
      <w:sz w:val="24"/>
      <w:szCs w:val="24"/>
    </w:rPr>
  </w:style>
  <w:style w:type="paragraph" w:styleId="1005" w:customStyle="1">
    <w:name w:val=" Char Char Char Char Char Char Char Char Char Char"/>
    <w:basedOn w:val="729"/>
    <w:uiPriority w:val="0"/>
    <w:qFormat/>
    <w:pPr>
      <w:spacing w:line="360" w:lineRule="auto"/>
    </w:pPr>
    <w:rPr>
      <w:sz w:val="24"/>
      <w:szCs w:val="20"/>
    </w:rPr>
  </w:style>
  <w:style w:type="paragraph" w:styleId="1006" w:customStyle="1">
    <w:name w:val="font6"/>
    <w:basedOn w:val="729"/>
    <w:uiPriority w:val="0"/>
    <w:qFormat/>
    <w:pPr>
      <w:jc w:val="left"/>
      <w:spacing w:before="100" w:beforeAutospacing="1" w:after="100" w:afterAutospacing="1"/>
      <w:widowControl/>
    </w:pPr>
    <w:rPr>
      <w:rFonts w:hint="eastAsia" w:ascii="宋体" w:hAnsi="宋体"/>
      <w:sz w:val="28"/>
      <w:szCs w:val="28"/>
      <w:u w:val="single"/>
    </w:rPr>
  </w:style>
  <w:style w:type="paragraph" w:styleId="1007" w:customStyle="1">
    <w:name w:val="xl25"/>
    <w:basedOn w:val="72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8" w:customStyle="1">
    <w:name w:val="图标"/>
    <w:basedOn w:val="729"/>
    <w:next w:val="72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9" w:customStyle="1">
    <w:name w:val="标题3"/>
    <w:basedOn w:val="729"/>
    <w:next w:val="729"/>
    <w:uiPriority w:val="0"/>
    <w:qFormat/>
    <w:pPr>
      <w:ind w:firstLine="624"/>
      <w:spacing w:line="590" w:lineRule="atLeast"/>
    </w:pPr>
    <w:rPr>
      <w:rFonts w:ascii="方正黑体_GBK" w:eastAsia="方正黑体_GBK"/>
      <w:sz w:val="32"/>
      <w:szCs w:val="32"/>
    </w:rPr>
  </w:style>
  <w:style w:type="paragraph" w:styleId="1010" w:customStyle="1">
    <w:name w:val="xl24"/>
    <w:basedOn w:val="72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1" w:customStyle="1">
    <w:name w:val="xl29"/>
    <w:basedOn w:val="72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2" w:customStyle="1">
    <w:name w:val="Char Char Char Char Char Char Char Char"/>
    <w:basedOn w:val="729"/>
    <w:uiPriority w:val="0"/>
    <w:qFormat/>
    <w:pPr>
      <w:jc w:val="left"/>
      <w:spacing w:after="160" w:line="240" w:lineRule="exact"/>
      <w:widowControl/>
    </w:pPr>
    <w:rPr>
      <w:rFonts w:ascii="Verdana" w:hAnsi="Verdana"/>
      <w:sz w:val="20"/>
      <w:szCs w:val="20"/>
      <w:lang w:eastAsia="en-US"/>
    </w:rPr>
  </w:style>
  <w:style w:type="paragraph" w:styleId="1013" w:customStyle="1">
    <w:name w:val="xl28"/>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4" w:customStyle="1">
    <w:name w:val=" Char Char Char Char Char Char Char Char"/>
    <w:basedOn w:val="729"/>
    <w:uiPriority w:val="0"/>
    <w:qFormat/>
    <w:pPr>
      <w:jc w:val="left"/>
      <w:spacing w:after="160" w:line="240" w:lineRule="exact"/>
      <w:widowControl/>
    </w:pPr>
    <w:rPr>
      <w:rFonts w:ascii="Verdana" w:hAnsi="Verdana"/>
      <w:sz w:val="20"/>
      <w:szCs w:val="20"/>
      <w:lang w:eastAsia="en-US"/>
    </w:rPr>
  </w:style>
  <w:style w:type="paragraph" w:styleId="1015" w:customStyle="1">
    <w:name w:val="xl30"/>
    <w:basedOn w:val="729"/>
    <w:uiPriority w:val="0"/>
    <w:qFormat/>
    <w:pPr>
      <w:jc w:val="center"/>
      <w:spacing w:before="100" w:beforeAutospacing="1" w:after="100" w:afterAutospacing="1"/>
      <w:widowControl/>
    </w:pPr>
    <w:rPr>
      <w:rFonts w:ascii="宋体" w:hAnsi="宋体"/>
      <w:b/>
      <w:bCs/>
      <w:sz w:val="36"/>
      <w:szCs w:val="36"/>
    </w:rPr>
  </w:style>
  <w:style w:type="paragraph" w:styleId="1016" w:customStyle="1">
    <w:name w:val="Char Char Char Char"/>
    <w:basedOn w:val="943"/>
    <w:uiPriority w:val="0"/>
    <w:qFormat/>
    <w:pPr>
      <w:spacing w:line="360" w:lineRule="auto"/>
    </w:pPr>
    <w:rPr>
      <w:rFonts w:ascii="Tahoma" w:hAnsi="Tahoma"/>
      <w:sz w:val="24"/>
      <w:szCs w:val="24"/>
    </w:rPr>
  </w:style>
  <w:style w:type="paragraph" w:styleId="1017" w:customStyle="1">
    <w:name w:val="table_1stline"/>
    <w:basedOn w:val="729"/>
    <w:uiPriority w:val="0"/>
    <w:qFormat/>
    <w:pPr>
      <w:jc w:val="left"/>
      <w:spacing w:before="120"/>
      <w:widowControl/>
    </w:pPr>
    <w:rPr>
      <w:bCs/>
      <w:sz w:val="20"/>
      <w:szCs w:val="20"/>
      <w:lang w:val="de-DE" w:eastAsia="de-DE"/>
    </w:rPr>
  </w:style>
  <w:style w:type="paragraph" w:styleId="1018" w:customStyle="1">
    <w:name w:val="font5"/>
    <w:basedOn w:val="729"/>
    <w:uiPriority w:val="0"/>
    <w:qFormat/>
    <w:pPr>
      <w:jc w:val="left"/>
      <w:spacing w:before="100" w:beforeAutospacing="1" w:after="100" w:afterAutospacing="1"/>
      <w:widowControl/>
    </w:pPr>
    <w:rPr>
      <w:rFonts w:hint="eastAsia" w:ascii="宋体" w:hAnsi="宋体"/>
      <w:sz w:val="28"/>
      <w:szCs w:val="28"/>
    </w:rPr>
  </w:style>
  <w:style w:type="paragraph" w:styleId="1019" w:customStyle="1">
    <w:name w:val="标题1"/>
    <w:basedOn w:val="729"/>
    <w:next w:val="72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2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22" w:customStyle="1">
    <w:name w:val="Table Normal"/>
    <w:uiPriority w:val="0"/>
    <w:qFormat/>
    <w:rPr>
      <w:lang w:val="en-US" w:eastAsia="zh-CN" w:bidi="ar-SA"/>
    </w:rPr>
    <w:tblPr/>
  </w:style>
  <w:style w:type="paragraph" w:styleId="1023"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24" w:customStyle="1">
    <w:name w:val="Normal_6_0"/>
    <w:uiPriority w:val="0"/>
    <w:qFormat/>
    <w:rPr>
      <w:rFonts w:hint="default" w:ascii="黑体" w:hAnsi="黑体" w:eastAsia="黑体" w:cs="黑体"/>
      <w:b/>
      <w:sz w:val="32"/>
      <w:szCs w:val="24"/>
      <w:lang w:val="en-US" w:eastAsia="zh-CN" w:bidi="ar-SA"/>
    </w:rPr>
  </w:style>
  <w:style w:type="paragraph" w:styleId="102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26" w:customStyle="1">
    <w:name w:val="正文_2"/>
    <w:next w:val="1027"/>
    <w:uiPriority w:val="0"/>
    <w:qFormat/>
    <w:pPr>
      <w:jc w:val="both"/>
      <w:widowControl w:val="off"/>
    </w:pPr>
    <w:rPr>
      <w:rFonts w:hint="default" w:ascii="Calibri" w:hAnsi="Calibri" w:eastAsia="宋体" w:cs="Times New Roman"/>
      <w:sz w:val="21"/>
      <w:szCs w:val="22"/>
      <w:lang w:val="en-US" w:eastAsia="zh-CN" w:bidi="ar-SA"/>
    </w:rPr>
  </w:style>
  <w:style w:type="paragraph" w:styleId="1027" w:customStyle="1">
    <w:name w:val="正文文本_0"/>
    <w:basedOn w:val="1028"/>
    <w:next w:val="1026"/>
    <w:uiPriority w:val="0"/>
    <w:unhideWhenUsed/>
    <w:qFormat/>
    <w:pPr>
      <w:ind w:left="72" w:right="30"/>
      <w:jc w:val="center"/>
      <w:spacing w:after="60" w:line="360" w:lineRule="atLeast"/>
      <w:widowControl w:val="off"/>
    </w:pPr>
    <w:rPr>
      <w:rFonts w:ascii="Calibri" w:hAnsi="Calibri" w:eastAsia="宋体" w:cs="Times New Roman"/>
      <w:sz w:val="21"/>
      <w:szCs w:val="22"/>
      <w:lang w:val="en-US" w:eastAsia="zh-CN" w:bidi="ar-SA"/>
    </w:rPr>
  </w:style>
  <w:style w:type="paragraph" w:styleId="1028" w:customStyle="1">
    <w:name w:val="正文_4_0"/>
    <w:uiPriority w:val="0"/>
    <w:qFormat/>
    <w:pPr>
      <w:jc w:val="both"/>
      <w:widowControl w:val="off"/>
    </w:pPr>
    <w:rPr>
      <w:rFonts w:ascii="Arial" w:hAnsi="Arial" w:eastAsia="Arial" w:cs="Times New Roman"/>
      <w:sz w:val="21"/>
      <w:szCs w:val="22"/>
      <w:lang w:val="en-US" w:eastAsia="zh-CN" w:bidi="ar-SA"/>
    </w:rPr>
  </w:style>
  <w:style w:type="paragraph" w:styleId="1029" w:customStyle="1">
    <w:name w:val="正文文本12"/>
    <w:basedOn w:val="729"/>
    <w:uiPriority w:val="1"/>
    <w:qFormat/>
    <w:pPr>
      <w:ind w:left="120"/>
    </w:pPr>
    <w:rPr>
      <w:rFonts w:ascii="宋体" w:hAnsi="宋体" w:eastAsia="宋体" w:cs="宋体"/>
      <w:sz w:val="21"/>
      <w:szCs w:val="21"/>
      <w:lang w:val="zh-CN" w:eastAsia="zh-CN" w:bidi="zh-CN"/>
    </w:rPr>
  </w:style>
  <w:style w:type="paragraph" w:styleId="1030" w:customStyle="1">
    <w:name w:val="正文2"/>
    <w:basedOn w:val="729"/>
    <w:uiPriority w:val="0"/>
    <w:qFormat/>
    <w:pPr>
      <w:ind w:firstLine="510"/>
      <w:spacing w:before="156" w:line="360" w:lineRule="auto"/>
    </w:pPr>
    <w:rPr>
      <w:sz w:val="24"/>
      <w:szCs w:val="20"/>
    </w:rPr>
  </w:style>
  <w:style w:type="paragraph" w:styleId="1031" w:customStyle="1">
    <w:name w:val="首行缩进"/>
    <w:basedOn w:val="729"/>
    <w:uiPriority w:val="0"/>
    <w:qFormat/>
    <w:pPr>
      <w:ind w:firstLine="480"/>
    </w:pPr>
    <w:rPr>
      <w:rFonts w:ascii="Times New Roman" w:hAnsi="Times New Roman" w:cs="Times New Roman"/>
      <w:lang w:val="zh-CN"/>
    </w:rPr>
  </w:style>
  <w:style w:type="paragraph" w:styleId="1032" w:customStyle="1">
    <w:name w:val="Normal_18_0"/>
    <w:uiPriority w:val="0"/>
    <w:qFormat/>
    <w:rPr>
      <w:rFonts w:hint="default" w:ascii="黑体" w:hAnsi="黑体" w:eastAsia="黑体" w:cs="黑体"/>
      <w:b/>
      <w:sz w:val="32"/>
      <w:szCs w:val="24"/>
      <w:lang w:val="en-US" w:eastAsia="zh-CN" w:bidi="ar-SA"/>
    </w:rPr>
  </w:style>
  <w:style w:type="paragraph" w:styleId="1033" w:customStyle="1">
    <w:name w:val="正文_12_0_0_0_0"/>
    <w:basedOn w:val="729"/>
    <w:uiPriority w:val="0"/>
    <w:qFormat/>
    <w:rPr>
      <w:rFonts w:ascii="Times New Roman" w:hAnsi="Times New Roman"/>
      <w:szCs w:val="24"/>
    </w:rPr>
  </w:style>
  <w:style w:type="paragraph" w:styleId="103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3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7" w:customStyle="1">
    <w:name w:val="Normal_20"/>
    <w:uiPriority w:val="0"/>
    <w:qFormat/>
    <w:rPr>
      <w:rFonts w:hint="default" w:ascii="黑体" w:hAnsi="黑体" w:eastAsia="黑体" w:cs="黑体"/>
      <w:b/>
      <w:sz w:val="32"/>
      <w:szCs w:val="24"/>
      <w:lang w:val="en-US" w:eastAsia="zh-CN" w:bidi="ar-SA"/>
    </w:rPr>
  </w:style>
  <w:style w:type="paragraph" w:styleId="103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39" w:customStyle="1">
    <w:name w:val="Normal_0"/>
    <w:uiPriority w:val="0"/>
    <w:qFormat/>
    <w:rPr>
      <w:rFonts w:hint="default" w:ascii="黑体" w:hAnsi="黑体" w:eastAsia="黑体" w:cs="Times New Roman"/>
      <w:b/>
      <w:sz w:val="32"/>
      <w:szCs w:val="24"/>
      <w:lang w:val="en-US" w:eastAsia="zh-CN" w:bidi="ar-SA"/>
    </w:rPr>
  </w:style>
  <w:style w:type="paragraph" w:styleId="1040" w:customStyle="1">
    <w:name w:val="部分1"/>
    <w:basedOn w:val="729"/>
    <w:uiPriority w:val="0"/>
    <w:qFormat/>
    <w:pPr>
      <w:jc w:val="center"/>
      <w:keepNext/>
      <w:pageBreakBefore/>
      <w:spacing w:line="360" w:lineRule="auto"/>
      <w:tabs>
        <w:tab w:val="left" w:pos="720" w:leader="none"/>
      </w:tabs>
      <w:outlineLvl w:val="0"/>
    </w:pPr>
    <w:rPr>
      <w:rFonts w:eastAsia="黑体"/>
      <w:b/>
      <w:sz w:val="36"/>
      <w:szCs w:val="20"/>
    </w:rPr>
  </w:style>
  <w:style w:type="paragraph" w:styleId="1041" w:customStyle="1">
    <w:name w:val="正文-公1"/>
    <w:next w:val="970"/>
    <w:uiPriority w:val="0"/>
    <w:qFormat/>
    <w:pPr>
      <w:ind w:firstLine="200"/>
      <w:jc w:val="both"/>
      <w:widowControl w:val="off"/>
    </w:pPr>
    <w:rPr>
      <w:rFonts w:hint="default" w:ascii="Calibri" w:hAnsi="Calibri" w:eastAsia="Arial" w:cs="黑体"/>
      <w:sz w:val="21"/>
      <w:szCs w:val="24"/>
      <w:lang w:val="en-US" w:eastAsia="zh-CN" w:bidi="ar-SA"/>
    </w:rPr>
  </w:style>
  <w:style w:type="paragraph" w:styleId="1042"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43" w:customStyle="1">
    <w:name w:val="WPSOffice手动目录 1"/>
    <w:uiPriority w:val="0"/>
    <w:qFormat/>
    <w:rPr>
      <w:rFonts w:hint="default" w:ascii="Times New Roman" w:hAnsi="Times New Roman" w:eastAsia="宋体" w:cs="Times New Roman"/>
      <w:sz w:val="20"/>
      <w:szCs w:val="20"/>
    </w:rPr>
  </w:style>
  <w:style w:type="paragraph" w:styleId="1044" w:customStyle="1">
    <w:name w:val="正文_2_0_0"/>
    <w:next w:val="1045"/>
    <w:uiPriority w:val="0"/>
    <w:qFormat/>
    <w:pPr>
      <w:jc w:val="both"/>
      <w:widowControl w:val="off"/>
    </w:pPr>
    <w:rPr>
      <w:rFonts w:ascii="Calibri" w:hAnsi="Calibri" w:eastAsia="宋体" w:cs="Times New Roman"/>
      <w:sz w:val="21"/>
      <w:szCs w:val="22"/>
      <w:lang w:val="en-US" w:eastAsia="zh-CN" w:bidi="ar-SA"/>
    </w:rPr>
  </w:style>
  <w:style w:type="paragraph" w:styleId="1045" w:customStyle="1">
    <w:name w:val="列表接续 2_0"/>
    <w:next w:val="1044"/>
    <w:uiPriority w:val="0"/>
    <w:qFormat/>
    <w:pPr>
      <w:ind w:left="840"/>
      <w:jc w:val="both"/>
      <w:spacing w:after="120"/>
      <w:widowControl w:val="off"/>
    </w:pPr>
    <w:rPr>
      <w:rFonts w:ascii="Times New Roman" w:hAnsi="Times New Roman" w:eastAsia="宋体" w:cs="Times New Roman"/>
      <w:sz w:val="21"/>
      <w:szCs w:val="24"/>
      <w:lang w:val="en-US" w:eastAsia="zh-CN" w:bidi="ar-SA"/>
    </w:rPr>
  </w:style>
  <w:style w:type="paragraph" w:styleId="1046" w:customStyle="1">
    <w:name w:val="正文_1_0_0"/>
    <w:uiPriority w:val="0"/>
    <w:qFormat/>
    <w:pPr>
      <w:jc w:val="both"/>
      <w:widowControl w:val="off"/>
    </w:pPr>
    <w:rPr>
      <w:rFonts w:ascii="Times New Roman" w:hAnsi="Times New Roman" w:eastAsia="宋体" w:cs="Times New Roman"/>
      <w:sz w:val="21"/>
      <w:szCs w:val="22"/>
      <w:lang w:val="en-US" w:eastAsia="zh-CN" w:bidi="ar-SA"/>
    </w:rPr>
  </w:style>
  <w:style w:type="paragraph" w:styleId="1047" w:customStyle="1">
    <w:name w:val="正文_2_0"/>
    <w:next w:val="1048"/>
    <w:uiPriority w:val="0"/>
    <w:qFormat/>
    <w:pPr>
      <w:jc w:val="both"/>
      <w:widowControl w:val="off"/>
    </w:pPr>
    <w:rPr>
      <w:rFonts w:ascii="Calibri" w:hAnsi="Calibri" w:eastAsia="宋体" w:cs="Times New Roman"/>
      <w:sz w:val="21"/>
      <w:szCs w:val="22"/>
      <w:lang w:val="en-US" w:eastAsia="zh-CN" w:bidi="ar-SA"/>
    </w:rPr>
  </w:style>
  <w:style w:type="paragraph" w:styleId="1048" w:customStyle="1">
    <w:name w:val="正文文本_0_0"/>
    <w:next w:val="1047"/>
    <w:uiPriority w:val="99"/>
    <w:unhideWhenUsed/>
    <w:qFormat/>
    <w:pPr>
      <w:jc w:val="both"/>
      <w:spacing w:after="120"/>
      <w:widowControl w:val="off"/>
    </w:pPr>
    <w:rPr>
      <w:rFonts w:ascii="Calibri" w:hAnsi="Calibri" w:eastAsia="宋体" w:cs="Times New Roman"/>
      <w:sz w:val="20"/>
      <w:szCs w:val="24"/>
      <w:lang w:val="en-US" w:eastAsia="zh-CN" w:bidi="ar-SA"/>
    </w:rPr>
  </w:style>
  <w:style w:type="paragraph" w:styleId="1049" w:customStyle="1">
    <w:name w:val="正文_4_0_0"/>
    <w:uiPriority w:val="0"/>
    <w:qFormat/>
    <w:pPr>
      <w:jc w:val="both"/>
      <w:widowControl w:val="off"/>
    </w:pPr>
    <w:rPr>
      <w:rFonts w:ascii="Times New Roman" w:hAnsi="Times New Roman" w:eastAsia="宋体" w:cs="Times New Roman"/>
      <w:sz w:val="21"/>
      <w:szCs w:val="22"/>
      <w:lang w:val="en-US" w:eastAsia="zh-CN" w:bidi="ar-SA"/>
    </w:rPr>
  </w:style>
  <w:style w:type="paragraph" w:styleId="1050" w:customStyle="1">
    <w:name w:val="正文_2_0_0_0_0_0"/>
    <w:next w:val="1051"/>
    <w:uiPriority w:val="0"/>
    <w:qFormat/>
    <w:pPr>
      <w:jc w:val="both"/>
      <w:widowControl w:val="off"/>
    </w:pPr>
    <w:rPr>
      <w:rFonts w:ascii="Calibri" w:hAnsi="Calibri" w:eastAsia="宋体" w:cs="Times New Roman"/>
      <w:sz w:val="21"/>
      <w:szCs w:val="22"/>
      <w:lang w:val="en-US" w:eastAsia="zh-CN" w:bidi="ar-SA"/>
    </w:rPr>
  </w:style>
  <w:style w:type="paragraph" w:styleId="1051" w:customStyle="1">
    <w:name w:val="列表接续 2_0_0_0_0"/>
    <w:next w:val="1050"/>
    <w:uiPriority w:val="0"/>
    <w:qFormat/>
    <w:pPr>
      <w:ind w:left="840"/>
      <w:jc w:val="both"/>
      <w:spacing w:after="120"/>
      <w:widowControl w:val="off"/>
    </w:pPr>
    <w:rPr>
      <w:rFonts w:ascii="Times New Roman" w:hAnsi="Times New Roman" w:eastAsia="宋体" w:cs="Times New Roman"/>
      <w:sz w:val="21"/>
      <w:szCs w:val="24"/>
      <w:lang w:val="en-US" w:eastAsia="zh-CN" w:bidi="ar-SA"/>
    </w:rPr>
  </w:style>
  <w:style w:type="paragraph" w:styleId="1052" w:customStyle="1">
    <w:name w:val="正文_14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53" w:customStyle="1">
    <w:name w:val="正文缩进_1_0_0_0"/>
    <w:uiPriority w:val="0"/>
    <w:qFormat/>
    <w:pPr>
      <w:ind w:firstLine="420"/>
      <w:jc w:val="both"/>
      <w:widowControl w:val="off"/>
    </w:pPr>
    <w:rPr>
      <w:rFonts w:ascii="宋体" w:hAnsi="Calibri" w:eastAsia="宋体" w:cs="Times New Roman"/>
      <w:color w:val="000000"/>
      <w:sz w:val="24"/>
      <w:szCs w:val="20"/>
      <w:lang w:val="en-US" w:eastAsia="zh-CN" w:bidi="ar-SA"/>
    </w:rPr>
  </w:style>
  <w:style w:type="paragraph" w:styleId="1054" w:customStyle="1">
    <w:name w:val="正文_2_0_0_0_1"/>
    <w:next w:val="1055"/>
    <w:uiPriority w:val="0"/>
    <w:qFormat/>
    <w:pPr>
      <w:jc w:val="both"/>
      <w:widowControl w:val="off"/>
    </w:pPr>
    <w:rPr>
      <w:rFonts w:ascii="Calibri" w:hAnsi="Calibri" w:eastAsia="宋体" w:cs="Times New Roman"/>
      <w:sz w:val="21"/>
      <w:szCs w:val="22"/>
      <w:lang w:val="en-US" w:eastAsia="zh-CN" w:bidi="ar-SA"/>
    </w:rPr>
  </w:style>
  <w:style w:type="paragraph" w:styleId="1055" w:customStyle="1">
    <w:name w:val="列表接续 2_0_0_1"/>
    <w:next w:val="1054"/>
    <w:uiPriority w:val="0"/>
    <w:qFormat/>
    <w:pPr>
      <w:ind w:left="840"/>
      <w:jc w:val="both"/>
      <w:spacing w:after="120"/>
      <w:widowControl w:val="off"/>
    </w:pPr>
    <w:rPr>
      <w:rFonts w:ascii="Times New Roman" w:hAnsi="Times New Roman" w:eastAsia="宋体" w:cs="Times New Roman"/>
      <w:sz w:val="21"/>
      <w:szCs w:val="24"/>
      <w:lang w:val="en-US" w:eastAsia="zh-CN" w:bidi="ar-SA"/>
    </w:rPr>
  </w:style>
  <w:style w:type="paragraph" w:styleId="1056" w:customStyle="1">
    <w:name w:val="正文_14_0_0_1"/>
    <w:uiPriority w:val="0"/>
    <w:qFormat/>
    <w:pPr>
      <w:jc w:val="both"/>
      <w:widowControl w:val="off"/>
    </w:pPr>
    <w:rPr>
      <w:rFonts w:ascii="Times New Roman" w:hAnsi="Times New Roman" w:eastAsia="宋体" w:cs="Times New Roman"/>
      <w:sz w:val="21"/>
      <w:szCs w:val="24"/>
      <w:lang w:val="en-US" w:eastAsia="zh-CN" w:bidi="ar-SA"/>
    </w:rPr>
  </w:style>
  <w:style w:type="paragraph" w:styleId="1057" w:customStyle="1">
    <w:name w:val="普通正文_1_0"/>
    <w:uiPriority w:val="0"/>
    <w:qFormat/>
    <w:pPr>
      <w:ind w:firstLine="425"/>
      <w:jc w:val="left"/>
      <w:widowControl w:val="off"/>
    </w:pPr>
    <w:rPr>
      <w:rFonts w:ascii="宋体" w:hAnsi="Calibri" w:eastAsia="宋体" w:cs="Times New Roman"/>
      <w:sz w:val="20"/>
      <w:szCs w:val="20"/>
      <w:lang w:val="en-US" w:eastAsia="zh-CN" w:bidi="ar-SA"/>
    </w:rPr>
  </w:style>
  <w:style w:type="paragraph" w:styleId="1058" w:customStyle="1">
    <w:name w:val="正文_16_0"/>
    <w:uiPriority w:val="0"/>
    <w:qFormat/>
    <w:pPr>
      <w:jc w:val="both"/>
      <w:widowControl w:val="off"/>
    </w:pPr>
    <w:rPr>
      <w:rFonts w:ascii="Times New Roman" w:hAnsi="Times New Roman" w:eastAsia="宋体" w:cs="Times New Roman"/>
      <w:sz w:val="21"/>
      <w:szCs w:val="24"/>
      <w:lang w:val="en-US" w:eastAsia="zh-CN" w:bidi="ar-SA"/>
    </w:rPr>
  </w:style>
  <w:style w:type="paragraph" w:styleId="1059" w:customStyle="1">
    <w:name w:val="正文_3_0"/>
    <w:next w:val="1060"/>
    <w:uiPriority w:val="0"/>
    <w:qFormat/>
    <w:pPr>
      <w:jc w:val="both"/>
      <w:widowControl w:val="off"/>
    </w:pPr>
    <w:rPr>
      <w:rFonts w:ascii="Times New Roman" w:hAnsi="Times New Roman" w:eastAsia="宋体" w:cs="Times New Roman"/>
      <w:sz w:val="21"/>
      <w:lang w:val="en-US" w:eastAsia="zh-CN" w:bidi="ar-SA"/>
    </w:rPr>
  </w:style>
  <w:style w:type="paragraph" w:styleId="1060" w:customStyle="1">
    <w:name w:val="标题 2_1"/>
    <w:next w:val="1059"/>
    <w:uiPriority w:val="0"/>
    <w:qFormat/>
    <w:pPr>
      <w:jc w:val="both"/>
      <w:keepLines/>
      <w:keepNext/>
      <w:spacing w:before="260" w:after="260" w:line="413" w:lineRule="auto"/>
      <w:widowControl w:val="off"/>
      <w:outlineLvl w:val="1"/>
    </w:pPr>
    <w:rPr>
      <w:rFonts w:ascii="Arial" w:hAnsi="Arial" w:eastAsia="黑体" w:cs="Times New Roman"/>
      <w:b/>
      <w:sz w:val="32"/>
      <w:lang w:val="en-US" w:eastAsia="zh-CN" w:bidi="ar-SA"/>
    </w:rPr>
  </w:style>
  <w:style w:type="paragraph" w:styleId="1061" w:customStyle="1">
    <w:name w:val="正文_5_0"/>
    <w:uiPriority w:val="0"/>
    <w:qFormat/>
    <w:pPr>
      <w:jc w:val="both"/>
      <w:widowControl w:val="off"/>
    </w:pPr>
    <w:rPr>
      <w:rFonts w:ascii="Times New Roman" w:hAnsi="Times New Roman" w:eastAsia="宋体" w:cs="Times New Roman"/>
      <w:sz w:val="21"/>
      <w:lang w:val="en-US" w:eastAsia="zh-CN" w:bidi="ar-SA"/>
    </w:rPr>
  </w:style>
  <w:style w:type="paragraph" w:styleId="1062" w:customStyle="1">
    <w:name w:val="正文_1_1"/>
    <w:uiPriority w:val="0"/>
    <w:qFormat/>
    <w:pPr>
      <w:jc w:val="both"/>
      <w:widowControl w:val="off"/>
    </w:pPr>
    <w:rPr>
      <w:rFonts w:ascii="Times New Roman" w:hAnsi="Times New Roman" w:eastAsia="宋体" w:cs="Times New Roman"/>
      <w:sz w:val="21"/>
      <w:szCs w:val="24"/>
      <w:lang w:val="en-US" w:eastAsia="zh-CN" w:bidi="ar-SA"/>
    </w:rPr>
  </w:style>
  <w:style w:type="paragraph" w:styleId="1063" w:customStyle="1">
    <w:name w:val="正文文本_0_1"/>
    <w:next w:val="1064"/>
    <w:uiPriority w:val="99"/>
    <w:unhideWhenUsed/>
    <w:qFormat/>
    <w:pPr>
      <w:jc w:val="both"/>
      <w:spacing w:after="120"/>
      <w:widowControl w:val="off"/>
    </w:pPr>
    <w:rPr>
      <w:rFonts w:ascii="Calibri" w:hAnsi="Calibri" w:eastAsia="宋体" w:cs="Times New Roman"/>
      <w:sz w:val="20"/>
      <w:szCs w:val="24"/>
      <w:lang w:val="en-US" w:eastAsia="zh-CN" w:bidi="ar-SA"/>
    </w:rPr>
  </w:style>
  <w:style w:type="paragraph" w:styleId="1064" w:customStyle="1">
    <w:name w:val="正文_2_1"/>
    <w:next w:val="1063"/>
    <w:uiPriority w:val="0"/>
    <w:qFormat/>
    <w:pPr>
      <w:jc w:val="both"/>
      <w:widowControl w:val="off"/>
    </w:pPr>
    <w:rPr>
      <w:rFonts w:ascii="Calibri" w:hAnsi="Calibri" w:eastAsia="宋体" w:cs="Times New Roman"/>
      <w:sz w:val="21"/>
      <w:szCs w:val="22"/>
      <w:lang w:val="en-US" w:eastAsia="zh-CN" w:bidi="ar-SA"/>
    </w:rPr>
  </w:style>
  <w:style w:type="paragraph" w:styleId="1065" w:customStyle="1">
    <w:name w:val="正文_4_1"/>
    <w:uiPriority w:val="0"/>
    <w:qFormat/>
    <w:pPr>
      <w:jc w:val="both"/>
      <w:widowControl w:val="off"/>
    </w:pPr>
    <w:rPr>
      <w:rFonts w:ascii="Times New Roman" w:hAnsi="Times New Roman" w:eastAsia="宋体" w:cs="Times New Roman"/>
      <w:sz w:val="21"/>
      <w:lang w:val="en-US" w:eastAsia="zh-CN" w:bidi="ar-SA"/>
    </w:rPr>
  </w:style>
  <w:style w:type="paragraph" w:styleId="1066" w:customStyle="1">
    <w:name w:val="Normal_11_0"/>
    <w:uiPriority w:val="0"/>
    <w:qFormat/>
    <w:pPr>
      <w:jc w:val="both"/>
      <w:widowControl w:val="off"/>
    </w:pPr>
    <w:rPr>
      <w:rFonts w:ascii="Calibri" w:hAnsi="Calibri" w:eastAsia="宋体" w:cs="Times New Roman"/>
      <w:sz w:val="21"/>
      <w:szCs w:val="22"/>
      <w:lang w:val="en-US" w:eastAsia="zh-CN" w:bidi="ar-SA"/>
    </w:rPr>
  </w:style>
  <w:style w:type="numbering" w:styleId="10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管永硕</cp:lastModifiedBy>
  <cp:revision>509</cp:revision>
  <dcterms:created xsi:type="dcterms:W3CDTF">2024-07-16T01:02:00Z</dcterms:created>
  <dcterms:modified xsi:type="dcterms:W3CDTF">2025-12-15T09:03:40Z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5C347EE189374B8F97D84D3E356DBBCB_13</vt:lpwstr>
  </property>
  <property fmtid="{D5CDD505-2E9C-101B-9397-08002B2CF9AE}" pid="4" name="KSOTemplateDocerSaveRecord">
    <vt:lpwstr>eyJoZGlkIjoiOGY2ZWRmOWY2MTc0YjJiYjA3NTc3YTdiNzcyY2Q3NDQiLCJ1c2VySWQiOiIyNzA1NTgyNDQifQ==</vt:lpwstr>
  </property>
</Properties>
</file>